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249C" w14:textId="63E6D86B" w:rsidR="00970355" w:rsidRPr="000101BE" w:rsidRDefault="00A64923" w:rsidP="000101BE">
      <w:pPr>
        <w:pStyle w:val="Titre1"/>
        <w:jc w:val="both"/>
        <w:rPr>
          <w:rFonts w:eastAsia="Times New Roman"/>
          <w:b/>
          <w:bCs/>
          <w:sz w:val="20"/>
          <w:szCs w:val="20"/>
        </w:rPr>
      </w:pPr>
      <w:r w:rsidRPr="000101BE">
        <w:rPr>
          <w:rFonts w:eastAsia="Times New Roman"/>
          <w:b/>
          <w:bCs/>
          <w:sz w:val="20"/>
          <w:szCs w:val="20"/>
        </w:rPr>
        <w:t>Communiqué de</w:t>
      </w:r>
      <w:r w:rsidR="009F49FF" w:rsidRPr="000101BE">
        <w:rPr>
          <w:rFonts w:eastAsia="Times New Roman"/>
          <w:b/>
          <w:bCs/>
          <w:sz w:val="20"/>
          <w:szCs w:val="20"/>
        </w:rPr>
        <w:t xml:space="preserve"> </w:t>
      </w:r>
      <w:r w:rsidR="00CC3D17" w:rsidRPr="000101BE">
        <w:rPr>
          <w:rFonts w:eastAsia="Times New Roman"/>
          <w:b/>
          <w:bCs/>
          <w:sz w:val="20"/>
          <w:szCs w:val="20"/>
        </w:rPr>
        <w:t>Presse</w:t>
      </w:r>
    </w:p>
    <w:p w14:paraId="3D4649A4" w14:textId="7D8D90CC" w:rsidR="00F50824" w:rsidRPr="000101BE" w:rsidRDefault="004F37FE" w:rsidP="000101BE">
      <w:pPr>
        <w:spacing w:before="120"/>
        <w:ind w:right="23"/>
        <w:jc w:val="both"/>
        <w:rPr>
          <w:rFonts w:ascii="Arial" w:hAnsi="Arial" w:cs="Arial"/>
          <w:sz w:val="20"/>
          <w:szCs w:val="20"/>
        </w:rPr>
      </w:pPr>
      <w:r w:rsidRPr="007D4F82">
        <w:rPr>
          <w:rFonts w:ascii="Arial" w:hAnsi="Arial" w:cs="Arial"/>
          <w:sz w:val="20"/>
          <w:szCs w:val="20"/>
        </w:rPr>
        <w:t>Paris, le</w:t>
      </w:r>
      <w:r w:rsidR="002E2BCA" w:rsidRPr="007D4F82">
        <w:rPr>
          <w:rFonts w:ascii="Arial" w:hAnsi="Arial" w:cs="Arial"/>
          <w:sz w:val="20"/>
          <w:szCs w:val="20"/>
        </w:rPr>
        <w:t xml:space="preserve"> </w:t>
      </w:r>
      <w:r w:rsidR="007D4F82" w:rsidRPr="007D4F82">
        <w:rPr>
          <w:rFonts w:ascii="Arial" w:hAnsi="Arial" w:cs="Arial"/>
          <w:sz w:val="20"/>
          <w:szCs w:val="20"/>
        </w:rPr>
        <w:t>07</w:t>
      </w:r>
      <w:r w:rsidR="00355C91" w:rsidRPr="007D4F82">
        <w:rPr>
          <w:rFonts w:ascii="Arial" w:hAnsi="Arial" w:cs="Arial"/>
          <w:sz w:val="20"/>
          <w:szCs w:val="20"/>
        </w:rPr>
        <w:t xml:space="preserve"> ju</w:t>
      </w:r>
      <w:r w:rsidR="004C56EF" w:rsidRPr="007D4F82">
        <w:rPr>
          <w:rFonts w:ascii="Arial" w:hAnsi="Arial" w:cs="Arial"/>
          <w:sz w:val="20"/>
          <w:szCs w:val="20"/>
        </w:rPr>
        <w:t xml:space="preserve">illet </w:t>
      </w:r>
      <w:r w:rsidR="00355C91" w:rsidRPr="007D4F82">
        <w:rPr>
          <w:rFonts w:ascii="Arial" w:hAnsi="Arial" w:cs="Arial"/>
          <w:sz w:val="20"/>
          <w:szCs w:val="20"/>
        </w:rPr>
        <w:t>2020</w:t>
      </w:r>
      <w:r w:rsidR="000C6237" w:rsidRPr="000101BE">
        <w:rPr>
          <w:rFonts w:ascii="Arial" w:hAnsi="Arial" w:cs="Arial"/>
          <w:sz w:val="20"/>
          <w:szCs w:val="20"/>
        </w:rPr>
        <w:t xml:space="preserve"> </w:t>
      </w:r>
    </w:p>
    <w:p w14:paraId="4C83F1AB" w14:textId="77777777" w:rsidR="00550269" w:rsidRPr="000101BE" w:rsidRDefault="00550269" w:rsidP="000101BE">
      <w:pPr>
        <w:pStyle w:val="Sansinterligne"/>
        <w:spacing w:after="120"/>
        <w:jc w:val="both"/>
        <w:rPr>
          <w:rFonts w:ascii="Arial" w:hAnsi="Arial" w:cs="Arial"/>
          <w:b/>
          <w:sz w:val="20"/>
          <w:szCs w:val="20"/>
        </w:rPr>
      </w:pPr>
    </w:p>
    <w:p w14:paraId="3DCCB8D4" w14:textId="77777777" w:rsidR="009B5A43" w:rsidRPr="004C56EF" w:rsidRDefault="009B5A43" w:rsidP="000101BE">
      <w:pPr>
        <w:jc w:val="both"/>
        <w:rPr>
          <w:rFonts w:ascii="Arial" w:hAnsi="Arial" w:cs="Arial"/>
          <w:iCs/>
          <w:sz w:val="20"/>
          <w:szCs w:val="20"/>
        </w:rPr>
      </w:pPr>
    </w:p>
    <w:p w14:paraId="463F6467" w14:textId="1FD1FC58" w:rsidR="009B5A43" w:rsidRDefault="009B5A43">
      <w:pPr>
        <w:jc w:val="center"/>
        <w:rPr>
          <w:rFonts w:ascii="Arial" w:hAnsi="Arial" w:cs="Arial"/>
          <w:b/>
          <w:bCs/>
          <w:iCs/>
          <w:sz w:val="28"/>
          <w:szCs w:val="28"/>
        </w:rPr>
      </w:pPr>
      <w:r w:rsidRPr="000101BE">
        <w:rPr>
          <w:rFonts w:ascii="Arial" w:hAnsi="Arial" w:cs="Arial"/>
          <w:b/>
          <w:bCs/>
          <w:iCs/>
          <w:sz w:val="28"/>
          <w:szCs w:val="28"/>
        </w:rPr>
        <w:t>Les majors européens du BTP à l’épreuve de la crise</w:t>
      </w:r>
    </w:p>
    <w:p w14:paraId="4B65732D" w14:textId="0E00724C" w:rsidR="004C56EF" w:rsidRDefault="004C56EF">
      <w:pPr>
        <w:jc w:val="center"/>
        <w:rPr>
          <w:rFonts w:ascii="Arial" w:hAnsi="Arial" w:cs="Arial"/>
          <w:b/>
          <w:bCs/>
          <w:iCs/>
          <w:sz w:val="28"/>
          <w:szCs w:val="28"/>
        </w:rPr>
      </w:pPr>
    </w:p>
    <w:p w14:paraId="2B13E75D" w14:textId="77777777" w:rsidR="004C56EF" w:rsidRPr="000101BE" w:rsidRDefault="004C56EF" w:rsidP="004C56EF">
      <w:pPr>
        <w:jc w:val="both"/>
        <w:rPr>
          <w:rFonts w:ascii="Arial" w:hAnsi="Arial" w:cs="Arial"/>
          <w:b/>
          <w:bCs/>
          <w:i/>
        </w:rPr>
      </w:pPr>
      <w:r w:rsidRPr="000101BE">
        <w:rPr>
          <w:rFonts w:ascii="Arial" w:hAnsi="Arial" w:cs="Arial"/>
          <w:b/>
          <w:bCs/>
          <w:i/>
        </w:rPr>
        <w:t>Étude Mazars « Les majors européens du BTP sont-ils armés pour affronter la crise ? »</w:t>
      </w:r>
    </w:p>
    <w:p w14:paraId="422D8522" w14:textId="77777777" w:rsidR="004C56EF" w:rsidRPr="000101BE" w:rsidRDefault="004C56EF" w:rsidP="004C56EF">
      <w:pPr>
        <w:rPr>
          <w:rFonts w:ascii="Arial" w:hAnsi="Arial" w:cs="Arial"/>
          <w:b/>
          <w:bCs/>
          <w:iCs/>
          <w:sz w:val="28"/>
          <w:szCs w:val="28"/>
        </w:rPr>
      </w:pPr>
    </w:p>
    <w:p w14:paraId="38FACCAD" w14:textId="015D211F" w:rsidR="004C56EF" w:rsidRPr="00B309C9" w:rsidRDefault="004C56EF" w:rsidP="004C56EF">
      <w:pPr>
        <w:spacing w:after="140"/>
        <w:jc w:val="both"/>
        <w:rPr>
          <w:rFonts w:ascii="Arial" w:hAnsi="Arial" w:cs="Arial"/>
          <w:sz w:val="20"/>
          <w:szCs w:val="20"/>
          <w:lang w:eastAsia="en-US"/>
        </w:rPr>
      </w:pPr>
      <w:r w:rsidRPr="00B309C9">
        <w:rPr>
          <w:rFonts w:ascii="Arial" w:hAnsi="Arial" w:cs="Arial"/>
          <w:sz w:val="20"/>
          <w:szCs w:val="20"/>
          <w:lang w:eastAsia="en-US"/>
        </w:rPr>
        <w:t xml:space="preserve">La crise sanitaire liée </w:t>
      </w:r>
      <w:r>
        <w:rPr>
          <w:rFonts w:ascii="Arial" w:hAnsi="Arial" w:cs="Arial"/>
          <w:sz w:val="20"/>
          <w:szCs w:val="20"/>
          <w:lang w:eastAsia="en-US"/>
        </w:rPr>
        <w:t>au</w:t>
      </w:r>
      <w:r w:rsidRPr="00B309C9">
        <w:rPr>
          <w:rFonts w:ascii="Arial" w:hAnsi="Arial" w:cs="Arial"/>
          <w:sz w:val="20"/>
          <w:szCs w:val="20"/>
          <w:lang w:eastAsia="en-US"/>
        </w:rPr>
        <w:t xml:space="preserve"> Covid-19 a fortement impacté le marché de la construction depuis le début de l’année 2020, obligeant les majors du BTP à prendre des mesures fortes pour faire face à cette crise, sanitaire et économique, que traverse le monde. En France, le confinement a été mis en place le 17 mars 2020</w:t>
      </w:r>
      <w:r>
        <w:rPr>
          <w:rFonts w:ascii="Arial" w:hAnsi="Arial" w:cs="Arial"/>
          <w:sz w:val="20"/>
          <w:szCs w:val="20"/>
          <w:lang w:eastAsia="en-US"/>
        </w:rPr>
        <w:t xml:space="preserve"> et </w:t>
      </w:r>
      <w:r w:rsidRPr="00B309C9">
        <w:rPr>
          <w:rFonts w:ascii="Arial" w:hAnsi="Arial" w:cs="Arial"/>
          <w:sz w:val="20"/>
          <w:szCs w:val="20"/>
          <w:lang w:eastAsia="en-US"/>
        </w:rPr>
        <w:t xml:space="preserve">tous les groupes ont communiqué sur l’arrêt d’une partie de leurs chantiers. L’activité a repris progressivement au cours du deuxième trimestre dans la plupart des pays au rythme des directives gouvernementales des pays où chaque groupe opère. </w:t>
      </w:r>
    </w:p>
    <w:p w14:paraId="47455D84" w14:textId="423AE9B6" w:rsidR="009B5A43" w:rsidRDefault="009B5A43" w:rsidP="000101BE">
      <w:pPr>
        <w:jc w:val="both"/>
        <w:rPr>
          <w:rFonts w:ascii="Arial" w:hAnsi="Arial" w:cs="Arial"/>
          <w:b/>
          <w:bCs/>
          <w:i/>
          <w:sz w:val="20"/>
          <w:szCs w:val="20"/>
        </w:rPr>
      </w:pPr>
    </w:p>
    <w:p w14:paraId="0EF117EB" w14:textId="75B93CF8" w:rsidR="004C56EF" w:rsidRPr="00CC7239" w:rsidRDefault="004C56EF" w:rsidP="00CC7239">
      <w:pPr>
        <w:jc w:val="both"/>
        <w:rPr>
          <w:rFonts w:ascii="Arial" w:hAnsi="Arial" w:cs="Arial"/>
          <w:b/>
          <w:bCs/>
          <w:iCs/>
          <w:sz w:val="20"/>
          <w:szCs w:val="20"/>
        </w:rPr>
      </w:pPr>
      <w:r w:rsidRPr="00CC7239">
        <w:rPr>
          <w:rFonts w:ascii="Arial" w:hAnsi="Arial" w:cs="Arial"/>
          <w:b/>
          <w:bCs/>
          <w:iCs/>
          <w:sz w:val="20"/>
          <w:szCs w:val="20"/>
        </w:rPr>
        <w:t xml:space="preserve">Mazars s’est interrogé sur la capacité des majors européens du BTP à traverser la crise du </w:t>
      </w:r>
      <w:proofErr w:type="spellStart"/>
      <w:r w:rsidRPr="00CC7239">
        <w:rPr>
          <w:rFonts w:ascii="Arial" w:hAnsi="Arial" w:cs="Arial"/>
          <w:b/>
          <w:bCs/>
          <w:iCs/>
          <w:sz w:val="20"/>
          <w:szCs w:val="20"/>
        </w:rPr>
        <w:t>Covid</w:t>
      </w:r>
      <w:proofErr w:type="spellEnd"/>
      <w:r w:rsidRPr="00CC7239">
        <w:rPr>
          <w:rFonts w:ascii="Arial" w:hAnsi="Arial" w:cs="Arial"/>
          <w:b/>
          <w:bCs/>
          <w:iCs/>
          <w:sz w:val="20"/>
          <w:szCs w:val="20"/>
        </w:rPr>
        <w:t xml:space="preserve"> 19, à travers l’étude des performances, de la solidité financière et du positionnement (diversification géographique / sectorielle) des 17 grands groupes européen</w:t>
      </w:r>
      <w:r w:rsidR="00CC7239">
        <w:rPr>
          <w:rFonts w:ascii="Arial" w:hAnsi="Arial" w:cs="Arial"/>
          <w:b/>
          <w:bCs/>
          <w:iCs/>
          <w:sz w:val="20"/>
          <w:szCs w:val="20"/>
        </w:rPr>
        <w:t xml:space="preserve">, </w:t>
      </w:r>
      <w:r w:rsidRPr="00CC7239">
        <w:rPr>
          <w:rFonts w:ascii="Arial" w:hAnsi="Arial" w:cs="Arial"/>
          <w:b/>
          <w:bCs/>
          <w:i/>
          <w:sz w:val="20"/>
          <w:szCs w:val="20"/>
        </w:rPr>
        <w:t xml:space="preserve">pure </w:t>
      </w:r>
      <w:proofErr w:type="spellStart"/>
      <w:r w:rsidRPr="00CC7239">
        <w:rPr>
          <w:rFonts w:ascii="Arial" w:hAnsi="Arial" w:cs="Arial"/>
          <w:b/>
          <w:bCs/>
          <w:i/>
          <w:sz w:val="20"/>
          <w:szCs w:val="20"/>
        </w:rPr>
        <w:t>players</w:t>
      </w:r>
      <w:proofErr w:type="spellEnd"/>
      <w:r w:rsidRPr="00CC7239">
        <w:rPr>
          <w:rFonts w:ascii="Arial" w:hAnsi="Arial" w:cs="Arial"/>
          <w:b/>
          <w:bCs/>
          <w:iCs/>
          <w:sz w:val="20"/>
          <w:szCs w:val="20"/>
        </w:rPr>
        <w:t xml:space="preserve"> ou acteurs diversifiés autour des métiers de la construction, dont le chiffre d’affaires consolidé est supérieur à 5 Mds€, </w:t>
      </w:r>
      <w:r w:rsidRPr="00CC7239">
        <w:rPr>
          <w:rFonts w:ascii="Arial" w:hAnsi="Arial" w:cs="Arial"/>
          <w:iCs/>
          <w:sz w:val="20"/>
          <w:szCs w:val="20"/>
        </w:rPr>
        <w:t xml:space="preserve">L’étude « Les majors européens du BTP sont-ils armés pour affronter la crise ? » compare les performances financières des majors européens du BTP sur 2019 et début 2020. Par rapport aux précédentes études, les axes de comparaison ont été complétés d’un focus sur l’endettement, la trésorerie et la liquidité des majors à fin 2019. </w:t>
      </w:r>
    </w:p>
    <w:p w14:paraId="79ADEB2E" w14:textId="20244317" w:rsidR="001A1801" w:rsidRDefault="001A1801" w:rsidP="000101BE">
      <w:pPr>
        <w:jc w:val="both"/>
        <w:rPr>
          <w:rFonts w:ascii="Arial" w:hAnsi="Arial" w:cs="Arial"/>
          <w:b/>
          <w:bCs/>
          <w:i/>
          <w:sz w:val="20"/>
          <w:szCs w:val="20"/>
        </w:rPr>
      </w:pPr>
    </w:p>
    <w:p w14:paraId="494A6DEF" w14:textId="4FF25C66" w:rsidR="001A1801" w:rsidRPr="00CC7239" w:rsidRDefault="001A1801" w:rsidP="000101BE">
      <w:pPr>
        <w:jc w:val="both"/>
        <w:rPr>
          <w:rFonts w:ascii="Arial" w:hAnsi="Arial" w:cs="Arial"/>
          <w:iCs/>
          <w:sz w:val="20"/>
          <w:szCs w:val="20"/>
        </w:rPr>
      </w:pPr>
      <w:bookmarkStart w:id="0" w:name="_Hlk44432572"/>
    </w:p>
    <w:p w14:paraId="1FCF89CD" w14:textId="5C8F21B1" w:rsidR="001A1801" w:rsidRPr="00CC7239" w:rsidRDefault="001A1801" w:rsidP="00CC7239">
      <w:pPr>
        <w:pStyle w:val="Paragraphedeliste"/>
        <w:numPr>
          <w:ilvl w:val="0"/>
          <w:numId w:val="33"/>
        </w:numPr>
        <w:jc w:val="both"/>
        <w:rPr>
          <w:rFonts w:ascii="Arial" w:hAnsi="Arial" w:cs="Arial"/>
          <w:b/>
          <w:bCs/>
          <w:iCs/>
          <w:sz w:val="20"/>
          <w:szCs w:val="20"/>
        </w:rPr>
      </w:pPr>
      <w:r w:rsidRPr="00CC7239">
        <w:rPr>
          <w:rFonts w:ascii="Arial" w:hAnsi="Arial" w:cs="Arial"/>
          <w:b/>
          <w:bCs/>
          <w:iCs/>
          <w:sz w:val="20"/>
          <w:szCs w:val="20"/>
        </w:rPr>
        <w:t xml:space="preserve">Les groupes ressortent renforcés de l’année 2019 avec une belle croissance de +4,5% (dont +7,9% pour les majors français) </w:t>
      </w:r>
      <w:r w:rsidR="00F03D74" w:rsidRPr="00CC7239">
        <w:rPr>
          <w:rFonts w:ascii="Arial" w:hAnsi="Arial" w:cs="Arial"/>
          <w:b/>
          <w:bCs/>
          <w:iCs/>
          <w:sz w:val="20"/>
          <w:szCs w:val="20"/>
        </w:rPr>
        <w:t>et</w:t>
      </w:r>
      <w:r w:rsidRPr="00CC7239">
        <w:rPr>
          <w:rFonts w:ascii="Arial" w:hAnsi="Arial" w:cs="Arial"/>
          <w:b/>
          <w:bCs/>
          <w:iCs/>
          <w:sz w:val="20"/>
          <w:szCs w:val="20"/>
        </w:rPr>
        <w:t xml:space="preserve"> un taux de marge opérationnelle légèrement supérieur (+0,2 point pour atteindre 4,9%)</w:t>
      </w:r>
      <w:r w:rsidR="00CC7239">
        <w:rPr>
          <w:rFonts w:ascii="Arial" w:hAnsi="Arial" w:cs="Arial"/>
          <w:b/>
          <w:bCs/>
          <w:iCs/>
          <w:sz w:val="20"/>
          <w:szCs w:val="20"/>
        </w:rPr>
        <w:t>.</w:t>
      </w:r>
    </w:p>
    <w:p w14:paraId="238C556F" w14:textId="7A0C6321" w:rsidR="001A1801" w:rsidRPr="00CC7239" w:rsidRDefault="001A1801" w:rsidP="00CC7239">
      <w:pPr>
        <w:pStyle w:val="Paragraphedeliste"/>
        <w:numPr>
          <w:ilvl w:val="0"/>
          <w:numId w:val="33"/>
        </w:numPr>
        <w:jc w:val="both"/>
        <w:rPr>
          <w:rFonts w:ascii="Arial" w:hAnsi="Arial" w:cs="Arial"/>
          <w:b/>
          <w:bCs/>
          <w:iCs/>
          <w:sz w:val="20"/>
          <w:szCs w:val="20"/>
        </w:rPr>
      </w:pPr>
      <w:r w:rsidRPr="00CC7239">
        <w:rPr>
          <w:rFonts w:ascii="Arial" w:hAnsi="Arial" w:cs="Arial"/>
          <w:b/>
          <w:bCs/>
          <w:iCs/>
          <w:sz w:val="20"/>
          <w:szCs w:val="20"/>
        </w:rPr>
        <w:t xml:space="preserve">L’internationalisation des majors s’est à nouveau accentuée en 2019 : la part de l’activité réalisée à l’étranger progresse de </w:t>
      </w:r>
      <w:r w:rsidR="00F03D74" w:rsidRPr="00CC7239">
        <w:rPr>
          <w:rFonts w:ascii="Arial" w:hAnsi="Arial" w:cs="Arial"/>
          <w:b/>
          <w:bCs/>
          <w:iCs/>
          <w:sz w:val="20"/>
          <w:szCs w:val="20"/>
        </w:rPr>
        <w:t>2</w:t>
      </w:r>
      <w:r w:rsidRPr="00CC7239">
        <w:rPr>
          <w:rFonts w:ascii="Arial" w:hAnsi="Arial" w:cs="Arial"/>
          <w:b/>
          <w:bCs/>
          <w:iCs/>
          <w:sz w:val="20"/>
          <w:szCs w:val="20"/>
        </w:rPr>
        <w:t xml:space="preserve"> point</w:t>
      </w:r>
      <w:r w:rsidR="00F03D74" w:rsidRPr="00CC7239">
        <w:rPr>
          <w:rFonts w:ascii="Arial" w:hAnsi="Arial" w:cs="Arial"/>
          <w:b/>
          <w:bCs/>
          <w:iCs/>
          <w:sz w:val="20"/>
          <w:szCs w:val="20"/>
        </w:rPr>
        <w:t>s</w:t>
      </w:r>
      <w:r w:rsidRPr="00CC7239">
        <w:rPr>
          <w:rFonts w:ascii="Arial" w:hAnsi="Arial" w:cs="Arial"/>
          <w:b/>
          <w:bCs/>
          <w:iCs/>
          <w:sz w:val="20"/>
          <w:szCs w:val="20"/>
        </w:rPr>
        <w:t xml:space="preserve">, pour représenter </w:t>
      </w:r>
      <w:r w:rsidR="00F03D74" w:rsidRPr="00CC7239">
        <w:rPr>
          <w:rFonts w:ascii="Arial" w:hAnsi="Arial" w:cs="Arial"/>
          <w:b/>
          <w:bCs/>
          <w:iCs/>
          <w:sz w:val="20"/>
          <w:szCs w:val="20"/>
        </w:rPr>
        <w:t>56% de leur activité</w:t>
      </w:r>
      <w:r w:rsidR="00CC7239">
        <w:rPr>
          <w:rFonts w:ascii="Arial" w:hAnsi="Arial" w:cs="Arial"/>
          <w:b/>
          <w:bCs/>
          <w:iCs/>
          <w:sz w:val="20"/>
          <w:szCs w:val="20"/>
        </w:rPr>
        <w:t>.</w:t>
      </w:r>
    </w:p>
    <w:p w14:paraId="1812F42E" w14:textId="722A598A" w:rsidR="00F03D74" w:rsidRPr="00CC7239" w:rsidRDefault="00F03D74" w:rsidP="00CC7239">
      <w:pPr>
        <w:pStyle w:val="Paragraphedeliste"/>
        <w:numPr>
          <w:ilvl w:val="0"/>
          <w:numId w:val="33"/>
        </w:numPr>
        <w:jc w:val="both"/>
        <w:rPr>
          <w:rFonts w:ascii="Arial" w:hAnsi="Arial" w:cs="Arial"/>
          <w:b/>
          <w:bCs/>
          <w:iCs/>
          <w:sz w:val="20"/>
          <w:szCs w:val="20"/>
        </w:rPr>
      </w:pPr>
      <w:r w:rsidRPr="00CC7239">
        <w:rPr>
          <w:rFonts w:ascii="Arial" w:hAnsi="Arial" w:cs="Arial"/>
          <w:b/>
          <w:bCs/>
          <w:iCs/>
          <w:sz w:val="20"/>
          <w:szCs w:val="20"/>
        </w:rPr>
        <w:t>Le carnet de commande</w:t>
      </w:r>
      <w:r w:rsidR="00F4665E" w:rsidRPr="00CC7239">
        <w:rPr>
          <w:rFonts w:ascii="Arial" w:hAnsi="Arial" w:cs="Arial"/>
          <w:b/>
          <w:bCs/>
          <w:iCs/>
          <w:sz w:val="20"/>
          <w:szCs w:val="20"/>
        </w:rPr>
        <w:t>s</w:t>
      </w:r>
      <w:r w:rsidRPr="00CC7239">
        <w:rPr>
          <w:rFonts w:ascii="Arial" w:hAnsi="Arial" w:cs="Arial"/>
          <w:b/>
          <w:bCs/>
          <w:iCs/>
          <w:sz w:val="20"/>
          <w:szCs w:val="20"/>
        </w:rPr>
        <w:t xml:space="preserve"> à fin 2019 est au plus haut historique, en hausse de 3,5% </w:t>
      </w:r>
      <w:r w:rsidRPr="00CC7239">
        <w:rPr>
          <w:rFonts w:ascii="Arial" w:hAnsi="Arial" w:cs="Arial"/>
          <w:b/>
          <w:bCs/>
          <w:i/>
          <w:sz w:val="20"/>
          <w:szCs w:val="20"/>
        </w:rPr>
        <w:t>vs.</w:t>
      </w:r>
      <w:r w:rsidRPr="00CC7239">
        <w:rPr>
          <w:rFonts w:ascii="Arial" w:hAnsi="Arial" w:cs="Arial"/>
          <w:b/>
          <w:bCs/>
          <w:iCs/>
          <w:sz w:val="20"/>
          <w:szCs w:val="20"/>
        </w:rPr>
        <w:t xml:space="preserve"> </w:t>
      </w:r>
      <w:r w:rsidR="00CC7239">
        <w:rPr>
          <w:rFonts w:ascii="Arial" w:hAnsi="Arial" w:cs="Arial"/>
          <w:b/>
          <w:bCs/>
          <w:iCs/>
          <w:sz w:val="20"/>
          <w:szCs w:val="20"/>
        </w:rPr>
        <w:t>f</w:t>
      </w:r>
      <w:r w:rsidRPr="00CC7239">
        <w:rPr>
          <w:rFonts w:ascii="Arial" w:hAnsi="Arial" w:cs="Arial"/>
          <w:b/>
          <w:bCs/>
          <w:iCs/>
          <w:sz w:val="20"/>
          <w:szCs w:val="20"/>
        </w:rPr>
        <w:t>in 2018.</w:t>
      </w:r>
    </w:p>
    <w:p w14:paraId="44322AB6" w14:textId="4335F68A" w:rsidR="00F03D74" w:rsidRPr="00CC7239" w:rsidRDefault="00F03D74" w:rsidP="00CC7239">
      <w:pPr>
        <w:pStyle w:val="Paragraphedeliste"/>
        <w:numPr>
          <w:ilvl w:val="0"/>
          <w:numId w:val="33"/>
        </w:numPr>
        <w:jc w:val="both"/>
        <w:rPr>
          <w:rFonts w:ascii="Arial" w:hAnsi="Arial" w:cs="Arial"/>
          <w:b/>
          <w:bCs/>
          <w:iCs/>
          <w:sz w:val="20"/>
          <w:szCs w:val="20"/>
        </w:rPr>
      </w:pPr>
      <w:r w:rsidRPr="00CC7239">
        <w:rPr>
          <w:rFonts w:ascii="Arial" w:hAnsi="Arial" w:cs="Arial"/>
          <w:b/>
          <w:bCs/>
          <w:iCs/>
          <w:sz w:val="20"/>
          <w:szCs w:val="20"/>
        </w:rPr>
        <w:t xml:space="preserve">La solidité financière s’est fortement améliorée sur 5 ans, avec une hausse de la trésorerie de 40% pour l’ensemble des groupes, atteignant ainsi 45 Mds€. En complément l’endettement net a reculé sur cette période de 38%, hors groupes </w:t>
      </w:r>
      <w:r w:rsidR="0004476E" w:rsidRPr="00CC7239">
        <w:rPr>
          <w:rFonts w:ascii="Arial" w:hAnsi="Arial" w:cs="Arial"/>
          <w:b/>
          <w:bCs/>
          <w:iCs/>
          <w:sz w:val="20"/>
          <w:szCs w:val="20"/>
        </w:rPr>
        <w:t xml:space="preserve">ayant une activité de </w:t>
      </w:r>
      <w:r w:rsidRPr="00CC7239">
        <w:rPr>
          <w:rFonts w:ascii="Arial" w:hAnsi="Arial" w:cs="Arial"/>
          <w:b/>
          <w:bCs/>
          <w:iCs/>
          <w:sz w:val="20"/>
          <w:szCs w:val="20"/>
        </w:rPr>
        <w:t>concession</w:t>
      </w:r>
      <w:r w:rsidR="00CC7239">
        <w:rPr>
          <w:rFonts w:ascii="Arial" w:hAnsi="Arial" w:cs="Arial"/>
          <w:b/>
          <w:bCs/>
          <w:iCs/>
          <w:sz w:val="20"/>
          <w:szCs w:val="20"/>
        </w:rPr>
        <w:t>.</w:t>
      </w:r>
    </w:p>
    <w:p w14:paraId="69B26054" w14:textId="207D3A29" w:rsidR="00F03D74" w:rsidRPr="00CC7239" w:rsidRDefault="00F03D74" w:rsidP="00CC7239">
      <w:pPr>
        <w:pStyle w:val="Paragraphedeliste"/>
        <w:numPr>
          <w:ilvl w:val="0"/>
          <w:numId w:val="33"/>
        </w:numPr>
        <w:jc w:val="both"/>
        <w:rPr>
          <w:rFonts w:ascii="Arial" w:hAnsi="Arial" w:cs="Arial"/>
          <w:b/>
          <w:bCs/>
          <w:iCs/>
          <w:sz w:val="20"/>
          <w:szCs w:val="20"/>
        </w:rPr>
      </w:pPr>
      <w:r w:rsidRPr="00CC7239">
        <w:rPr>
          <w:rFonts w:ascii="Arial" w:hAnsi="Arial" w:cs="Arial"/>
          <w:b/>
          <w:bCs/>
          <w:iCs/>
          <w:sz w:val="20"/>
          <w:szCs w:val="20"/>
        </w:rPr>
        <w:t>L’activité des groupes ayant publié au 1</w:t>
      </w:r>
      <w:r w:rsidRPr="00CC7239">
        <w:rPr>
          <w:rFonts w:ascii="Arial" w:hAnsi="Arial" w:cs="Arial"/>
          <w:b/>
          <w:bCs/>
          <w:iCs/>
          <w:sz w:val="20"/>
          <w:szCs w:val="20"/>
          <w:vertAlign w:val="superscript"/>
        </w:rPr>
        <w:t>er</w:t>
      </w:r>
      <w:r w:rsidRPr="00CC7239">
        <w:rPr>
          <w:rFonts w:ascii="Arial" w:hAnsi="Arial" w:cs="Arial"/>
          <w:b/>
          <w:bCs/>
          <w:iCs/>
          <w:sz w:val="20"/>
          <w:szCs w:val="20"/>
        </w:rPr>
        <w:t xml:space="preserve"> trimestre 2020 est encore faiblement marquée par l’impact du </w:t>
      </w:r>
      <w:proofErr w:type="spellStart"/>
      <w:r w:rsidRPr="00CC7239">
        <w:rPr>
          <w:rFonts w:ascii="Arial" w:hAnsi="Arial" w:cs="Arial"/>
          <w:b/>
          <w:bCs/>
          <w:iCs/>
          <w:sz w:val="20"/>
          <w:szCs w:val="20"/>
        </w:rPr>
        <w:t>Covid</w:t>
      </w:r>
      <w:proofErr w:type="spellEnd"/>
      <w:r w:rsidRPr="00CC7239">
        <w:rPr>
          <w:rFonts w:ascii="Arial" w:hAnsi="Arial" w:cs="Arial"/>
          <w:b/>
          <w:bCs/>
          <w:iCs/>
          <w:sz w:val="20"/>
          <w:szCs w:val="20"/>
        </w:rPr>
        <w:t xml:space="preserve"> 19 (+2,2% </w:t>
      </w:r>
      <w:r w:rsidRPr="00CC7239">
        <w:rPr>
          <w:rFonts w:ascii="Arial" w:hAnsi="Arial" w:cs="Arial"/>
          <w:b/>
          <w:bCs/>
          <w:i/>
          <w:sz w:val="20"/>
          <w:szCs w:val="20"/>
        </w:rPr>
        <w:t>vs.</w:t>
      </w:r>
      <w:r w:rsidRPr="00CC7239">
        <w:rPr>
          <w:rFonts w:ascii="Arial" w:hAnsi="Arial" w:cs="Arial"/>
          <w:b/>
          <w:bCs/>
          <w:iCs/>
          <w:sz w:val="20"/>
          <w:szCs w:val="20"/>
        </w:rPr>
        <w:t xml:space="preserve"> 1</w:t>
      </w:r>
      <w:r w:rsidRPr="00CC7239">
        <w:rPr>
          <w:rFonts w:ascii="Arial" w:hAnsi="Arial" w:cs="Arial"/>
          <w:b/>
          <w:bCs/>
          <w:iCs/>
          <w:sz w:val="20"/>
          <w:szCs w:val="20"/>
          <w:vertAlign w:val="superscript"/>
        </w:rPr>
        <w:t>er</w:t>
      </w:r>
      <w:r w:rsidRPr="00CC7239">
        <w:rPr>
          <w:rFonts w:ascii="Arial" w:hAnsi="Arial" w:cs="Arial"/>
          <w:b/>
          <w:bCs/>
          <w:iCs/>
          <w:sz w:val="20"/>
          <w:szCs w:val="20"/>
        </w:rPr>
        <w:t xml:space="preserve"> trimestre 2019), mais devrait être fortement impactée au 2</w:t>
      </w:r>
      <w:r w:rsidRPr="00CC7239">
        <w:rPr>
          <w:rFonts w:ascii="Arial" w:hAnsi="Arial" w:cs="Arial"/>
          <w:b/>
          <w:bCs/>
          <w:iCs/>
          <w:sz w:val="20"/>
          <w:szCs w:val="20"/>
          <w:vertAlign w:val="superscript"/>
        </w:rPr>
        <w:t>nd</w:t>
      </w:r>
      <w:r w:rsidRPr="00CC7239">
        <w:rPr>
          <w:rFonts w:ascii="Arial" w:hAnsi="Arial" w:cs="Arial"/>
          <w:b/>
          <w:bCs/>
          <w:iCs/>
          <w:sz w:val="20"/>
          <w:szCs w:val="20"/>
        </w:rPr>
        <w:t xml:space="preserve"> trimestre 2020, à l’image de la dégradation des capitalisations boursières </w:t>
      </w:r>
      <w:r w:rsidR="002305F0" w:rsidRPr="00CC7239">
        <w:rPr>
          <w:rFonts w:ascii="Arial" w:hAnsi="Arial" w:cs="Arial"/>
          <w:b/>
          <w:bCs/>
          <w:iCs/>
          <w:sz w:val="20"/>
          <w:szCs w:val="20"/>
        </w:rPr>
        <w:t>sur le</w:t>
      </w:r>
      <w:r w:rsidRPr="00CC7239">
        <w:rPr>
          <w:rFonts w:ascii="Arial" w:hAnsi="Arial" w:cs="Arial"/>
          <w:b/>
          <w:bCs/>
          <w:iCs/>
          <w:sz w:val="20"/>
          <w:szCs w:val="20"/>
        </w:rPr>
        <w:t xml:space="preserve"> 1</w:t>
      </w:r>
      <w:r w:rsidRPr="00CC7239">
        <w:rPr>
          <w:rFonts w:ascii="Arial" w:hAnsi="Arial" w:cs="Arial"/>
          <w:b/>
          <w:bCs/>
          <w:iCs/>
          <w:sz w:val="20"/>
          <w:szCs w:val="20"/>
          <w:vertAlign w:val="superscript"/>
        </w:rPr>
        <w:t>er</w:t>
      </w:r>
      <w:r w:rsidRPr="00CC7239">
        <w:rPr>
          <w:rFonts w:ascii="Arial" w:hAnsi="Arial" w:cs="Arial"/>
          <w:b/>
          <w:bCs/>
          <w:iCs/>
          <w:sz w:val="20"/>
          <w:szCs w:val="20"/>
        </w:rPr>
        <w:t xml:space="preserve"> semestre 2020.</w:t>
      </w:r>
    </w:p>
    <w:bookmarkEnd w:id="0"/>
    <w:p w14:paraId="1987ECF1" w14:textId="77777777" w:rsidR="001A1801" w:rsidRPr="000101BE" w:rsidRDefault="001A1801" w:rsidP="000101BE">
      <w:pPr>
        <w:jc w:val="both"/>
        <w:rPr>
          <w:rFonts w:ascii="Arial" w:hAnsi="Arial" w:cs="Arial"/>
          <w:b/>
          <w:bCs/>
          <w:i/>
          <w:sz w:val="20"/>
          <w:szCs w:val="20"/>
        </w:rPr>
      </w:pPr>
    </w:p>
    <w:p w14:paraId="572E675F" w14:textId="77777777" w:rsidR="009B5A43" w:rsidRPr="000101BE" w:rsidRDefault="009B5A43" w:rsidP="000101BE">
      <w:pPr>
        <w:jc w:val="both"/>
        <w:rPr>
          <w:rFonts w:ascii="Arial" w:hAnsi="Arial" w:cs="Arial"/>
          <w:b/>
          <w:bCs/>
          <w:i/>
          <w:sz w:val="20"/>
          <w:szCs w:val="20"/>
        </w:rPr>
      </w:pPr>
    </w:p>
    <w:p w14:paraId="52AB9D28" w14:textId="77777777" w:rsidR="00F84A21" w:rsidRPr="004C56EF" w:rsidRDefault="00F84A21" w:rsidP="004C56EF">
      <w:pPr>
        <w:jc w:val="both"/>
        <w:rPr>
          <w:rFonts w:ascii="Arial" w:hAnsi="Arial" w:cs="Arial"/>
          <w:b/>
          <w:bCs/>
          <w:sz w:val="20"/>
          <w:szCs w:val="20"/>
          <w:lang w:eastAsia="en-US"/>
        </w:rPr>
      </w:pPr>
    </w:p>
    <w:p w14:paraId="2EE972B8" w14:textId="77777777" w:rsidR="00F84A21" w:rsidRPr="00B309C9" w:rsidRDefault="00F84A21" w:rsidP="00B309C9">
      <w:pPr>
        <w:jc w:val="both"/>
        <w:rPr>
          <w:rFonts w:ascii="Arial" w:hAnsi="Arial" w:cs="Arial"/>
          <w:b/>
          <w:bCs/>
          <w:sz w:val="20"/>
          <w:szCs w:val="20"/>
          <w:lang w:eastAsia="en-US"/>
        </w:rPr>
      </w:pPr>
    </w:p>
    <w:p w14:paraId="2322D646" w14:textId="6C24A629" w:rsidR="0078163D" w:rsidRDefault="00485654" w:rsidP="00485654">
      <w:pPr>
        <w:autoSpaceDE w:val="0"/>
        <w:autoSpaceDN w:val="0"/>
        <w:adjustRightInd w:val="0"/>
        <w:jc w:val="both"/>
        <w:rPr>
          <w:rFonts w:ascii="Arial" w:hAnsi="Arial" w:cs="Arial"/>
          <w:bCs/>
          <w:sz w:val="20"/>
          <w:szCs w:val="20"/>
        </w:rPr>
      </w:pPr>
      <w:r w:rsidRPr="00B309C9">
        <w:rPr>
          <w:rFonts w:ascii="Arial" w:hAnsi="Arial" w:cs="Arial"/>
          <w:iCs/>
          <w:sz w:val="20"/>
          <w:szCs w:val="20"/>
        </w:rPr>
        <w:t>Les publications du chiffre d’affaires des majors européens du BTP au 31 mars 2020 montrent</w:t>
      </w:r>
      <w:r>
        <w:rPr>
          <w:rFonts w:ascii="Arial" w:hAnsi="Arial" w:cs="Arial"/>
          <w:iCs/>
          <w:sz w:val="20"/>
          <w:szCs w:val="20"/>
        </w:rPr>
        <w:t xml:space="preserve"> seulement</w:t>
      </w:r>
      <w:r w:rsidRPr="00B309C9">
        <w:rPr>
          <w:rFonts w:ascii="Arial" w:hAnsi="Arial" w:cs="Arial"/>
          <w:iCs/>
          <w:sz w:val="20"/>
          <w:szCs w:val="20"/>
        </w:rPr>
        <w:t xml:space="preserve"> les premiers effets de la</w:t>
      </w:r>
      <w:r>
        <w:rPr>
          <w:rFonts w:ascii="Arial" w:hAnsi="Arial" w:cs="Arial"/>
          <w:iCs/>
          <w:sz w:val="20"/>
          <w:szCs w:val="20"/>
        </w:rPr>
        <w:t xml:space="preserve"> crise du</w:t>
      </w:r>
      <w:r w:rsidRPr="00B309C9">
        <w:rPr>
          <w:rFonts w:ascii="Arial" w:hAnsi="Arial" w:cs="Arial"/>
          <w:iCs/>
          <w:sz w:val="20"/>
          <w:szCs w:val="20"/>
        </w:rPr>
        <w:t xml:space="preserve"> Covid-</w:t>
      </w:r>
      <w:r w:rsidRPr="00485654">
        <w:rPr>
          <w:rFonts w:ascii="Arial" w:hAnsi="Arial" w:cs="Arial"/>
          <w:iCs/>
          <w:sz w:val="20"/>
          <w:szCs w:val="20"/>
        </w:rPr>
        <w:t>19.</w:t>
      </w:r>
      <w:r>
        <w:rPr>
          <w:rFonts w:ascii="Arial" w:hAnsi="Arial" w:cs="Arial"/>
          <w:iCs/>
          <w:sz w:val="20"/>
          <w:szCs w:val="20"/>
        </w:rPr>
        <w:t xml:space="preserve"> L</w:t>
      </w:r>
      <w:r w:rsidRPr="004C56EF">
        <w:rPr>
          <w:rFonts w:ascii="Arial" w:hAnsi="Arial" w:cs="Arial"/>
          <w:bCs/>
          <w:sz w:val="20"/>
          <w:szCs w:val="20"/>
        </w:rPr>
        <w:t>es groupes français présentent déjà un recul moyen de 2,7% de leur activité par rapport au premier trimestre 2019</w:t>
      </w:r>
      <w:r>
        <w:rPr>
          <w:rFonts w:ascii="Arial" w:hAnsi="Arial" w:cs="Arial"/>
          <w:bCs/>
          <w:sz w:val="20"/>
          <w:szCs w:val="20"/>
        </w:rPr>
        <w:t xml:space="preserve">. </w:t>
      </w:r>
    </w:p>
    <w:p w14:paraId="550757F9" w14:textId="77777777" w:rsidR="00CE395D" w:rsidRDefault="00CE395D" w:rsidP="00485654">
      <w:pPr>
        <w:autoSpaceDE w:val="0"/>
        <w:autoSpaceDN w:val="0"/>
        <w:adjustRightInd w:val="0"/>
        <w:jc w:val="both"/>
        <w:rPr>
          <w:rFonts w:ascii="Arial" w:hAnsi="Arial" w:cs="Arial"/>
          <w:bCs/>
          <w:sz w:val="20"/>
          <w:szCs w:val="20"/>
        </w:rPr>
      </w:pPr>
    </w:p>
    <w:p w14:paraId="1073A250" w14:textId="197EAE07" w:rsidR="00485654" w:rsidRDefault="00CE395D" w:rsidP="00485654">
      <w:pPr>
        <w:autoSpaceDE w:val="0"/>
        <w:autoSpaceDN w:val="0"/>
        <w:adjustRightInd w:val="0"/>
        <w:jc w:val="both"/>
        <w:rPr>
          <w:rFonts w:ascii="Arial" w:hAnsi="Arial" w:cs="Arial"/>
          <w:bCs/>
          <w:sz w:val="20"/>
          <w:szCs w:val="20"/>
        </w:rPr>
      </w:pPr>
      <w:bookmarkStart w:id="1" w:name="_Hlk44431249"/>
      <w:r>
        <w:rPr>
          <w:rFonts w:ascii="Arial" w:hAnsi="Arial" w:cs="Arial"/>
          <w:bCs/>
          <w:sz w:val="20"/>
          <w:szCs w:val="20"/>
        </w:rPr>
        <w:t xml:space="preserve">Cette </w:t>
      </w:r>
      <w:r w:rsidR="00485654">
        <w:rPr>
          <w:rFonts w:ascii="Arial" w:hAnsi="Arial" w:cs="Arial"/>
          <w:bCs/>
          <w:sz w:val="20"/>
          <w:szCs w:val="20"/>
        </w:rPr>
        <w:t xml:space="preserve">crise s’est </w:t>
      </w:r>
      <w:r>
        <w:rPr>
          <w:rFonts w:ascii="Arial" w:hAnsi="Arial" w:cs="Arial"/>
          <w:bCs/>
          <w:sz w:val="20"/>
          <w:szCs w:val="20"/>
        </w:rPr>
        <w:t xml:space="preserve">également </w:t>
      </w:r>
      <w:r w:rsidR="00485654">
        <w:rPr>
          <w:rFonts w:ascii="Arial" w:hAnsi="Arial" w:cs="Arial"/>
          <w:bCs/>
          <w:sz w:val="20"/>
          <w:szCs w:val="20"/>
        </w:rPr>
        <w:t>traduit</w:t>
      </w:r>
      <w:r>
        <w:rPr>
          <w:rFonts w:ascii="Arial" w:hAnsi="Arial" w:cs="Arial"/>
          <w:bCs/>
          <w:sz w:val="20"/>
          <w:szCs w:val="20"/>
        </w:rPr>
        <w:t>e</w:t>
      </w:r>
      <w:r w:rsidR="00485654">
        <w:rPr>
          <w:rFonts w:ascii="Arial" w:hAnsi="Arial" w:cs="Arial"/>
          <w:bCs/>
          <w:sz w:val="20"/>
          <w:szCs w:val="20"/>
        </w:rPr>
        <w:t xml:space="preserve"> par une forte dégradation des capitalisations boursières de l’ensemble des majors européens</w:t>
      </w:r>
      <w:r>
        <w:rPr>
          <w:rFonts w:ascii="Arial" w:hAnsi="Arial" w:cs="Arial"/>
          <w:bCs/>
          <w:sz w:val="20"/>
          <w:szCs w:val="20"/>
        </w:rPr>
        <w:t>. Cette dégradation s’est cependant atténuée au fur et à mesure de la reprise des chantiers.</w:t>
      </w:r>
    </w:p>
    <w:bookmarkEnd w:id="1"/>
    <w:p w14:paraId="2301C79C" w14:textId="77777777" w:rsidR="005536E4" w:rsidRDefault="005536E4" w:rsidP="00B309C9">
      <w:pPr>
        <w:jc w:val="both"/>
        <w:rPr>
          <w:rFonts w:ascii="Arial" w:hAnsi="Arial" w:cs="Arial"/>
          <w:b/>
          <w:bCs/>
          <w:sz w:val="20"/>
          <w:szCs w:val="20"/>
          <w:lang w:eastAsia="en-US"/>
        </w:rPr>
      </w:pPr>
    </w:p>
    <w:p w14:paraId="4878AF6C" w14:textId="083FE800" w:rsidR="001A1801" w:rsidRDefault="001A1801" w:rsidP="00B309C9">
      <w:pPr>
        <w:jc w:val="both"/>
        <w:rPr>
          <w:rFonts w:ascii="Arial" w:hAnsi="Arial" w:cs="Arial"/>
          <w:b/>
          <w:bCs/>
          <w:sz w:val="20"/>
          <w:szCs w:val="20"/>
          <w:lang w:eastAsia="en-US"/>
        </w:rPr>
      </w:pPr>
    </w:p>
    <w:p w14:paraId="16B3EFA4" w14:textId="0FFD1D6E" w:rsidR="00CC7239" w:rsidRDefault="00CC7239" w:rsidP="00B309C9">
      <w:pPr>
        <w:jc w:val="both"/>
        <w:rPr>
          <w:rFonts w:ascii="Arial" w:hAnsi="Arial" w:cs="Arial"/>
          <w:b/>
          <w:bCs/>
          <w:sz w:val="20"/>
          <w:szCs w:val="20"/>
          <w:lang w:eastAsia="en-US"/>
        </w:rPr>
      </w:pPr>
    </w:p>
    <w:p w14:paraId="186DC727" w14:textId="77777777" w:rsidR="00CC7239" w:rsidRDefault="00CC7239" w:rsidP="00B309C9">
      <w:pPr>
        <w:jc w:val="both"/>
        <w:rPr>
          <w:rFonts w:ascii="Arial" w:hAnsi="Arial" w:cs="Arial"/>
          <w:b/>
          <w:bCs/>
          <w:sz w:val="20"/>
          <w:szCs w:val="20"/>
          <w:lang w:eastAsia="en-US"/>
        </w:rPr>
      </w:pPr>
    </w:p>
    <w:p w14:paraId="564226ED" w14:textId="77777777" w:rsidR="001A1801" w:rsidRDefault="001A1801" w:rsidP="00B309C9">
      <w:pPr>
        <w:jc w:val="both"/>
        <w:rPr>
          <w:rFonts w:ascii="Arial" w:hAnsi="Arial" w:cs="Arial"/>
          <w:b/>
          <w:bCs/>
          <w:sz w:val="20"/>
          <w:szCs w:val="20"/>
          <w:lang w:eastAsia="en-US"/>
        </w:rPr>
      </w:pPr>
    </w:p>
    <w:p w14:paraId="613DCD4A" w14:textId="58EEA523" w:rsidR="007D2150" w:rsidRPr="00B309C9" w:rsidRDefault="005352A1" w:rsidP="00B309C9">
      <w:pPr>
        <w:jc w:val="both"/>
        <w:rPr>
          <w:rFonts w:ascii="Arial" w:hAnsi="Arial" w:cs="Arial"/>
          <w:b/>
          <w:bCs/>
          <w:sz w:val="20"/>
          <w:szCs w:val="20"/>
          <w:lang w:eastAsia="en-US"/>
        </w:rPr>
      </w:pPr>
      <w:r w:rsidRPr="00B309C9">
        <w:rPr>
          <w:rFonts w:ascii="Arial" w:hAnsi="Arial" w:cs="Arial"/>
          <w:b/>
          <w:bCs/>
          <w:sz w:val="20"/>
          <w:szCs w:val="20"/>
          <w:lang w:eastAsia="en-US"/>
        </w:rPr>
        <w:lastRenderedPageBreak/>
        <w:t>2019, Une nouvelle année de croissance pour les majors</w:t>
      </w:r>
    </w:p>
    <w:p w14:paraId="5302F484" w14:textId="77777777" w:rsidR="00B309C9" w:rsidRPr="00B309C9" w:rsidRDefault="00B309C9" w:rsidP="00B309C9">
      <w:pPr>
        <w:jc w:val="both"/>
        <w:rPr>
          <w:rFonts w:ascii="Arial" w:hAnsi="Arial" w:cs="Arial"/>
          <w:b/>
          <w:bCs/>
          <w:sz w:val="20"/>
          <w:szCs w:val="20"/>
          <w:lang w:eastAsia="en-US"/>
        </w:rPr>
      </w:pPr>
    </w:p>
    <w:p w14:paraId="1A2C77E1" w14:textId="2CF8773C" w:rsidR="00C01B3A" w:rsidRPr="00B309C9" w:rsidRDefault="00C01B3A" w:rsidP="00B309C9">
      <w:pPr>
        <w:jc w:val="both"/>
        <w:rPr>
          <w:rFonts w:ascii="Arial" w:hAnsi="Arial" w:cs="Arial"/>
          <w:b/>
          <w:bCs/>
          <w:sz w:val="20"/>
          <w:szCs w:val="20"/>
          <w:lang w:eastAsia="en-US"/>
        </w:rPr>
      </w:pPr>
      <w:r w:rsidRPr="00B309C9">
        <w:rPr>
          <w:rFonts w:ascii="Arial" w:hAnsi="Arial" w:cs="Arial"/>
          <w:b/>
          <w:bCs/>
          <w:sz w:val="20"/>
          <w:szCs w:val="20"/>
          <w:lang w:eastAsia="en-US"/>
        </w:rPr>
        <w:t>L’activité des majors s’inscrit en hausse pour la troisième année consécutive, à +4,5% par rapport à 2018</w:t>
      </w:r>
      <w:r w:rsidRPr="00B309C9">
        <w:rPr>
          <w:rFonts w:ascii="Arial" w:hAnsi="Arial" w:cs="Arial"/>
          <w:sz w:val="20"/>
          <w:szCs w:val="20"/>
          <w:lang w:eastAsia="en-US"/>
        </w:rPr>
        <w:t xml:space="preserve">. </w:t>
      </w:r>
      <w:r w:rsidRPr="00B309C9">
        <w:rPr>
          <w:rFonts w:ascii="Arial" w:hAnsi="Arial" w:cs="Arial"/>
          <w:b/>
          <w:bCs/>
          <w:sz w:val="20"/>
          <w:szCs w:val="20"/>
          <w:lang w:eastAsia="en-US"/>
        </w:rPr>
        <w:t>Les groupes français se distinguent, pour la seconde année consécutive, par une hausse de leur chiffre d’affaires (+ 7,9%) supérieure à la moyenne des groupes du Panel.</w:t>
      </w:r>
    </w:p>
    <w:p w14:paraId="767A70D5" w14:textId="77777777" w:rsidR="000101BE" w:rsidRPr="00B309C9" w:rsidRDefault="000101BE" w:rsidP="00B309C9">
      <w:pPr>
        <w:jc w:val="both"/>
        <w:rPr>
          <w:rFonts w:ascii="Arial" w:hAnsi="Arial" w:cs="Arial"/>
          <w:b/>
          <w:bCs/>
          <w:sz w:val="20"/>
          <w:szCs w:val="20"/>
          <w:lang w:eastAsia="en-US"/>
        </w:rPr>
      </w:pPr>
    </w:p>
    <w:p w14:paraId="00791E6E" w14:textId="36FFA5EA" w:rsidR="00C01B3A" w:rsidRPr="00B309C9" w:rsidRDefault="00C01B3A" w:rsidP="00B309C9">
      <w:pPr>
        <w:jc w:val="both"/>
        <w:rPr>
          <w:rFonts w:ascii="Arial" w:hAnsi="Arial" w:cs="Arial"/>
          <w:sz w:val="20"/>
          <w:szCs w:val="20"/>
          <w:lang w:eastAsia="en-US"/>
        </w:rPr>
      </w:pPr>
      <w:r w:rsidRPr="00B309C9">
        <w:rPr>
          <w:rFonts w:ascii="Arial" w:hAnsi="Arial" w:cs="Arial"/>
          <w:sz w:val="20"/>
          <w:szCs w:val="20"/>
          <w:lang w:eastAsia="en-US"/>
        </w:rPr>
        <w:t>En 2019, les majors ont poursuivi leur stratégie de croissance externe avec de nombreuses acquisitions sur les divers secteurs d’activité, notamment deux principales acquisitions sur la partie Concessions : l’acquisition en mai de 50,01% des parts de l’aérop</w:t>
      </w:r>
      <w:bookmarkStart w:id="2" w:name="_GoBack"/>
      <w:bookmarkEnd w:id="2"/>
      <w:r w:rsidRPr="00B309C9">
        <w:rPr>
          <w:rFonts w:ascii="Arial" w:hAnsi="Arial" w:cs="Arial"/>
          <w:sz w:val="20"/>
          <w:szCs w:val="20"/>
          <w:lang w:eastAsia="en-US"/>
        </w:rPr>
        <w:t>ort de Londres-Gatwick par Vinci et le rachat en décembre de 49,9% des parts de l’aéroport de Toulouse-Blagnac par le groupe Eiffage.</w:t>
      </w:r>
    </w:p>
    <w:p w14:paraId="088CDE2C" w14:textId="77777777" w:rsidR="00C01B3A" w:rsidRPr="00B309C9" w:rsidRDefault="00C01B3A" w:rsidP="00B309C9">
      <w:pPr>
        <w:jc w:val="both"/>
        <w:rPr>
          <w:rFonts w:ascii="Arial" w:hAnsi="Arial" w:cs="Arial"/>
          <w:sz w:val="20"/>
          <w:szCs w:val="20"/>
          <w:lang w:eastAsia="en-US"/>
        </w:rPr>
      </w:pPr>
    </w:p>
    <w:p w14:paraId="29362187" w14:textId="7F2CEAE4" w:rsidR="00C01B3A" w:rsidRPr="00B309C9" w:rsidRDefault="00C01B3A" w:rsidP="00B309C9">
      <w:pPr>
        <w:jc w:val="both"/>
        <w:rPr>
          <w:rFonts w:ascii="Arial" w:hAnsi="Arial" w:cs="Arial"/>
          <w:sz w:val="20"/>
          <w:szCs w:val="20"/>
          <w:lang w:eastAsia="en-US"/>
        </w:rPr>
      </w:pPr>
      <w:r w:rsidRPr="00B309C9">
        <w:rPr>
          <w:rFonts w:ascii="Arial" w:hAnsi="Arial" w:cs="Arial"/>
          <w:sz w:val="20"/>
          <w:szCs w:val="20"/>
          <w:lang w:eastAsia="en-US"/>
        </w:rPr>
        <w:t>Le taux de marge opérationnelle des groupes du Panel s’est maintenu par rapport à 2018 (+0,</w:t>
      </w:r>
      <w:r w:rsidR="001A1801">
        <w:rPr>
          <w:rFonts w:ascii="Arial" w:hAnsi="Arial" w:cs="Arial"/>
          <w:sz w:val="20"/>
          <w:szCs w:val="20"/>
          <w:lang w:eastAsia="en-US"/>
        </w:rPr>
        <w:t>2</w:t>
      </w:r>
      <w:r w:rsidRPr="00B309C9">
        <w:rPr>
          <w:rFonts w:ascii="Arial" w:hAnsi="Arial" w:cs="Arial"/>
          <w:sz w:val="20"/>
          <w:szCs w:val="20"/>
          <w:lang w:eastAsia="en-US"/>
        </w:rPr>
        <w:t xml:space="preserve"> point hors </w:t>
      </w:r>
      <w:proofErr w:type="spellStart"/>
      <w:r w:rsidRPr="00B309C9">
        <w:rPr>
          <w:rFonts w:ascii="Arial" w:hAnsi="Arial" w:cs="Arial"/>
          <w:sz w:val="20"/>
          <w:szCs w:val="20"/>
          <w:lang w:eastAsia="en-US"/>
        </w:rPr>
        <w:t>Atlantia</w:t>
      </w:r>
      <w:proofErr w:type="spellEnd"/>
      <w:r w:rsidRPr="00B309C9">
        <w:rPr>
          <w:rFonts w:ascii="Arial" w:hAnsi="Arial" w:cs="Arial"/>
          <w:sz w:val="20"/>
          <w:szCs w:val="20"/>
          <w:lang w:eastAsia="en-US"/>
        </w:rPr>
        <w:t>). Cette légère hausse est toutefois à nuancer. Avec la prise en compte d’</w:t>
      </w:r>
      <w:proofErr w:type="spellStart"/>
      <w:r w:rsidRPr="00B309C9">
        <w:rPr>
          <w:rFonts w:ascii="Arial" w:hAnsi="Arial" w:cs="Arial"/>
          <w:sz w:val="20"/>
          <w:szCs w:val="20"/>
          <w:lang w:eastAsia="en-US"/>
        </w:rPr>
        <w:t>Atlantia</w:t>
      </w:r>
      <w:proofErr w:type="spellEnd"/>
      <w:r w:rsidRPr="00B309C9">
        <w:rPr>
          <w:rFonts w:ascii="Arial" w:hAnsi="Arial" w:cs="Arial"/>
          <w:sz w:val="20"/>
          <w:szCs w:val="20"/>
          <w:lang w:eastAsia="en-US"/>
        </w:rPr>
        <w:t>, le taux de marge opérationnelle des majors européens sur 2019 recule de 0,9 point par rapport à 2018. La dégradation de 18 points du taux de marge opérationnelle du major italien, notamment impacté par l’effondrement du Pont de Gênes, pénalise la moyenne du Panel.</w:t>
      </w:r>
    </w:p>
    <w:p w14:paraId="1C1EF0CF" w14:textId="77777777" w:rsidR="005536E4" w:rsidRPr="00B309C9" w:rsidRDefault="005536E4" w:rsidP="00B309C9">
      <w:pPr>
        <w:jc w:val="both"/>
        <w:rPr>
          <w:rFonts w:ascii="Arial" w:hAnsi="Arial" w:cs="Arial"/>
          <w:b/>
          <w:bCs/>
          <w:sz w:val="20"/>
          <w:szCs w:val="20"/>
          <w:lang w:eastAsia="en-US"/>
        </w:rPr>
      </w:pPr>
    </w:p>
    <w:p w14:paraId="63221124" w14:textId="7C289FC7" w:rsidR="00B309C9" w:rsidRDefault="00B309C9" w:rsidP="00B309C9">
      <w:pPr>
        <w:jc w:val="both"/>
        <w:rPr>
          <w:rFonts w:ascii="Arial" w:hAnsi="Arial" w:cs="Arial"/>
          <w:b/>
          <w:bCs/>
          <w:sz w:val="20"/>
          <w:szCs w:val="20"/>
          <w:lang w:eastAsia="en-US"/>
        </w:rPr>
      </w:pPr>
    </w:p>
    <w:p w14:paraId="3D8696FF" w14:textId="77777777" w:rsidR="0078163D" w:rsidRPr="00B309C9" w:rsidRDefault="0078163D" w:rsidP="00B309C9">
      <w:pPr>
        <w:jc w:val="both"/>
        <w:rPr>
          <w:rFonts w:ascii="Arial" w:hAnsi="Arial" w:cs="Arial"/>
          <w:b/>
          <w:bCs/>
          <w:sz w:val="20"/>
          <w:szCs w:val="20"/>
          <w:lang w:eastAsia="en-US"/>
        </w:rPr>
      </w:pPr>
    </w:p>
    <w:p w14:paraId="61E539EA" w14:textId="15511868" w:rsidR="007D2150" w:rsidRPr="00B309C9" w:rsidRDefault="007B57E7" w:rsidP="00B309C9">
      <w:pPr>
        <w:jc w:val="both"/>
        <w:rPr>
          <w:rFonts w:ascii="Arial" w:hAnsi="Arial" w:cs="Arial"/>
          <w:b/>
          <w:bCs/>
          <w:sz w:val="20"/>
          <w:szCs w:val="20"/>
          <w:lang w:eastAsia="en-US"/>
        </w:rPr>
      </w:pPr>
      <w:r w:rsidRPr="00B309C9">
        <w:rPr>
          <w:rFonts w:ascii="Arial" w:hAnsi="Arial" w:cs="Arial"/>
          <w:b/>
          <w:bCs/>
          <w:sz w:val="20"/>
          <w:szCs w:val="20"/>
          <w:lang w:eastAsia="en-US"/>
        </w:rPr>
        <w:t>Développement à l’international</w:t>
      </w:r>
    </w:p>
    <w:p w14:paraId="340B3DCF" w14:textId="77777777" w:rsidR="00B309C9" w:rsidRPr="00B309C9" w:rsidRDefault="00B309C9" w:rsidP="00B309C9">
      <w:pPr>
        <w:autoSpaceDE w:val="0"/>
        <w:autoSpaceDN w:val="0"/>
        <w:spacing w:before="40" w:after="40"/>
        <w:jc w:val="both"/>
        <w:rPr>
          <w:rFonts w:ascii="Arial" w:hAnsi="Arial" w:cs="Arial"/>
          <w:b/>
          <w:bCs/>
          <w:sz w:val="20"/>
          <w:szCs w:val="20"/>
        </w:rPr>
      </w:pPr>
    </w:p>
    <w:p w14:paraId="2A18E099" w14:textId="51A68FF3" w:rsidR="007B57E7" w:rsidRPr="00B309C9" w:rsidRDefault="007B57E7" w:rsidP="00B309C9">
      <w:pPr>
        <w:autoSpaceDE w:val="0"/>
        <w:autoSpaceDN w:val="0"/>
        <w:spacing w:before="40" w:after="40"/>
        <w:jc w:val="both"/>
        <w:rPr>
          <w:rFonts w:ascii="Arial" w:hAnsi="Arial" w:cs="Arial"/>
          <w:b/>
          <w:bCs/>
          <w:sz w:val="20"/>
          <w:szCs w:val="20"/>
        </w:rPr>
      </w:pPr>
      <w:r w:rsidRPr="00B309C9">
        <w:rPr>
          <w:rFonts w:ascii="Arial" w:hAnsi="Arial" w:cs="Arial"/>
          <w:b/>
          <w:bCs/>
          <w:sz w:val="20"/>
          <w:szCs w:val="20"/>
        </w:rPr>
        <w:t xml:space="preserve">Dans la continuité des années précédentes, le poids de l’activité des majors réalisé à l’étranger poursuit sa montée en puissance. En 2019, 55,7% de leur chiffre d’affaires est réalisé hors marché domestique, soit +1,6 point par rapport à 2018, </w:t>
      </w:r>
      <w:r w:rsidR="005536E4">
        <w:rPr>
          <w:rFonts w:ascii="Arial" w:hAnsi="Arial" w:cs="Arial"/>
          <w:b/>
          <w:bCs/>
          <w:sz w:val="20"/>
          <w:szCs w:val="20"/>
        </w:rPr>
        <w:t xml:space="preserve">évolution </w:t>
      </w:r>
      <w:r w:rsidRPr="00B309C9">
        <w:rPr>
          <w:rFonts w:ascii="Arial" w:hAnsi="Arial" w:cs="Arial"/>
          <w:b/>
          <w:bCs/>
          <w:sz w:val="20"/>
          <w:szCs w:val="20"/>
        </w:rPr>
        <w:t>principalement portée par le marché européen (hors domestique), dont la part progresse de +1,5 point. </w:t>
      </w:r>
    </w:p>
    <w:p w14:paraId="176D1D9C" w14:textId="77777777" w:rsidR="007B57E7" w:rsidRPr="00B309C9" w:rsidRDefault="007B57E7" w:rsidP="00B309C9">
      <w:pPr>
        <w:autoSpaceDE w:val="0"/>
        <w:autoSpaceDN w:val="0"/>
        <w:spacing w:before="40" w:after="40"/>
        <w:jc w:val="both"/>
        <w:rPr>
          <w:rFonts w:ascii="Arial" w:hAnsi="Arial" w:cs="Arial"/>
          <w:sz w:val="20"/>
          <w:szCs w:val="20"/>
        </w:rPr>
      </w:pPr>
    </w:p>
    <w:p w14:paraId="50159CD9" w14:textId="77777777" w:rsidR="007B57E7" w:rsidRPr="00B309C9" w:rsidRDefault="007B57E7" w:rsidP="00B309C9">
      <w:pPr>
        <w:autoSpaceDE w:val="0"/>
        <w:autoSpaceDN w:val="0"/>
        <w:spacing w:before="40" w:after="40"/>
        <w:jc w:val="both"/>
        <w:rPr>
          <w:rFonts w:ascii="Arial" w:hAnsi="Arial" w:cs="Arial"/>
          <w:sz w:val="20"/>
          <w:szCs w:val="20"/>
        </w:rPr>
      </w:pPr>
      <w:r w:rsidRPr="00B309C9">
        <w:rPr>
          <w:rFonts w:ascii="Arial" w:hAnsi="Arial" w:cs="Arial"/>
          <w:sz w:val="20"/>
          <w:szCs w:val="20"/>
        </w:rPr>
        <w:t xml:space="preserve">La hausse du poids de l’activité des majors en Europe hors domestique par rapport à 2018 est notamment portée par </w:t>
      </w:r>
      <w:proofErr w:type="spellStart"/>
      <w:r w:rsidRPr="00B309C9">
        <w:rPr>
          <w:rFonts w:ascii="Arial" w:hAnsi="Arial" w:cs="Arial"/>
          <w:sz w:val="20"/>
          <w:szCs w:val="20"/>
        </w:rPr>
        <w:t>Atlantia</w:t>
      </w:r>
      <w:proofErr w:type="spellEnd"/>
      <w:r w:rsidRPr="00B309C9">
        <w:rPr>
          <w:rFonts w:ascii="Arial" w:hAnsi="Arial" w:cs="Arial"/>
          <w:sz w:val="20"/>
          <w:szCs w:val="20"/>
        </w:rPr>
        <w:t xml:space="preserve"> (+20 pts, principalement en lien avec l’acquisition d’</w:t>
      </w:r>
      <w:proofErr w:type="spellStart"/>
      <w:r w:rsidRPr="00B309C9">
        <w:rPr>
          <w:rFonts w:ascii="Arial" w:hAnsi="Arial" w:cs="Arial"/>
          <w:sz w:val="20"/>
          <w:szCs w:val="20"/>
        </w:rPr>
        <w:t>Abertis</w:t>
      </w:r>
      <w:proofErr w:type="spellEnd"/>
      <w:r w:rsidRPr="00B309C9">
        <w:rPr>
          <w:rFonts w:ascii="Arial" w:hAnsi="Arial" w:cs="Arial"/>
          <w:sz w:val="20"/>
          <w:szCs w:val="20"/>
        </w:rPr>
        <w:t xml:space="preserve">), NCC AB (+3,5 pts) et </w:t>
      </w:r>
      <w:proofErr w:type="spellStart"/>
      <w:r w:rsidRPr="00B309C9">
        <w:rPr>
          <w:rFonts w:ascii="Arial" w:hAnsi="Arial" w:cs="Arial"/>
          <w:sz w:val="20"/>
          <w:szCs w:val="20"/>
        </w:rPr>
        <w:t>Acciona</w:t>
      </w:r>
      <w:proofErr w:type="spellEnd"/>
      <w:r w:rsidRPr="00B309C9">
        <w:rPr>
          <w:rFonts w:ascii="Arial" w:hAnsi="Arial" w:cs="Arial"/>
          <w:sz w:val="20"/>
          <w:szCs w:val="20"/>
        </w:rPr>
        <w:t xml:space="preserve"> (+1,7 pt).</w:t>
      </w:r>
    </w:p>
    <w:p w14:paraId="682F0CFE" w14:textId="77777777" w:rsidR="007B57E7" w:rsidRPr="00B309C9" w:rsidRDefault="007B57E7" w:rsidP="00B309C9">
      <w:pPr>
        <w:autoSpaceDE w:val="0"/>
        <w:autoSpaceDN w:val="0"/>
        <w:spacing w:before="40" w:after="40"/>
        <w:jc w:val="both"/>
        <w:rPr>
          <w:rFonts w:ascii="Arial" w:hAnsi="Arial" w:cs="Arial"/>
          <w:sz w:val="20"/>
          <w:szCs w:val="20"/>
        </w:rPr>
      </w:pPr>
    </w:p>
    <w:p w14:paraId="70125625" w14:textId="77777777" w:rsidR="007B57E7" w:rsidRPr="00B309C9" w:rsidRDefault="007B57E7" w:rsidP="00B309C9">
      <w:pPr>
        <w:autoSpaceDE w:val="0"/>
        <w:autoSpaceDN w:val="0"/>
        <w:spacing w:before="40" w:after="40"/>
        <w:jc w:val="both"/>
        <w:rPr>
          <w:rFonts w:ascii="Arial" w:hAnsi="Arial" w:cs="Arial"/>
          <w:sz w:val="20"/>
          <w:szCs w:val="20"/>
        </w:rPr>
      </w:pPr>
      <w:r w:rsidRPr="00B309C9">
        <w:rPr>
          <w:rFonts w:ascii="Arial" w:hAnsi="Arial" w:cs="Arial"/>
          <w:sz w:val="20"/>
          <w:szCs w:val="20"/>
        </w:rPr>
        <w:t xml:space="preserve">La part du chiffre d’affaires des majors sur leur marché domestique représente 44,3% de l’activité des groupes en 2019. Ce recul de -1,6 point par rapport à 2018 est notamment impacté par </w:t>
      </w:r>
      <w:proofErr w:type="spellStart"/>
      <w:r w:rsidRPr="00B309C9">
        <w:rPr>
          <w:rFonts w:ascii="Arial" w:hAnsi="Arial" w:cs="Arial"/>
          <w:sz w:val="20"/>
          <w:szCs w:val="20"/>
        </w:rPr>
        <w:t>Atlantia</w:t>
      </w:r>
      <w:proofErr w:type="spellEnd"/>
      <w:r w:rsidRPr="00B309C9">
        <w:rPr>
          <w:rFonts w:ascii="Arial" w:hAnsi="Arial" w:cs="Arial"/>
          <w:sz w:val="20"/>
          <w:szCs w:val="20"/>
        </w:rPr>
        <w:t xml:space="preserve"> (-28 pts), NCC AB (-3,5 pts) et Vinci (-2,2 pts). </w:t>
      </w:r>
    </w:p>
    <w:p w14:paraId="2918692C" w14:textId="686EA2EB" w:rsidR="007B57E7" w:rsidRPr="00B309C9" w:rsidRDefault="007B57E7" w:rsidP="00B309C9">
      <w:pPr>
        <w:jc w:val="both"/>
        <w:rPr>
          <w:rFonts w:ascii="Arial" w:hAnsi="Arial" w:cs="Arial"/>
          <w:b/>
          <w:bCs/>
          <w:color w:val="000000" w:themeColor="text1"/>
          <w:sz w:val="20"/>
          <w:szCs w:val="20"/>
          <w:lang w:eastAsia="en-US"/>
        </w:rPr>
      </w:pPr>
    </w:p>
    <w:p w14:paraId="39E6C0F4" w14:textId="6A08F855" w:rsidR="00C01B3A" w:rsidRDefault="00C01B3A" w:rsidP="00B309C9">
      <w:pPr>
        <w:jc w:val="both"/>
        <w:rPr>
          <w:rFonts w:ascii="Arial" w:hAnsi="Arial" w:cs="Arial"/>
          <w:b/>
          <w:bCs/>
          <w:sz w:val="20"/>
          <w:szCs w:val="20"/>
          <w:lang w:eastAsia="en-US"/>
        </w:rPr>
      </w:pPr>
    </w:p>
    <w:p w14:paraId="752BCB7D" w14:textId="77777777" w:rsidR="005536E4" w:rsidRPr="00B309C9" w:rsidRDefault="005536E4" w:rsidP="00B309C9">
      <w:pPr>
        <w:jc w:val="both"/>
        <w:rPr>
          <w:rFonts w:ascii="Arial" w:hAnsi="Arial" w:cs="Arial"/>
          <w:b/>
          <w:bCs/>
          <w:sz w:val="20"/>
          <w:szCs w:val="20"/>
          <w:lang w:eastAsia="en-US"/>
        </w:rPr>
      </w:pPr>
    </w:p>
    <w:p w14:paraId="27A3E870" w14:textId="0A830D2E" w:rsidR="00B309C9" w:rsidRPr="0078163D" w:rsidRDefault="00C01B3A" w:rsidP="0078163D">
      <w:pPr>
        <w:spacing w:after="100"/>
        <w:jc w:val="both"/>
        <w:rPr>
          <w:rFonts w:ascii="Arial" w:hAnsi="Arial" w:cs="Arial"/>
          <w:b/>
          <w:color w:val="000000" w:themeColor="text1"/>
          <w:sz w:val="20"/>
          <w:szCs w:val="20"/>
        </w:rPr>
      </w:pPr>
      <w:r w:rsidRPr="00B309C9">
        <w:rPr>
          <w:rFonts w:ascii="Arial" w:hAnsi="Arial" w:cs="Arial"/>
          <w:b/>
          <w:color w:val="000000" w:themeColor="text1"/>
          <w:sz w:val="20"/>
          <w:szCs w:val="20"/>
        </w:rPr>
        <w:t>Une troisième année de forte croissance pour les majors</w:t>
      </w:r>
    </w:p>
    <w:p w14:paraId="588A7537" w14:textId="208E18D3" w:rsidR="007B57E7" w:rsidRPr="00B309C9" w:rsidRDefault="007B57E7" w:rsidP="00B309C9">
      <w:pPr>
        <w:spacing w:after="200"/>
        <w:jc w:val="both"/>
        <w:rPr>
          <w:rFonts w:ascii="Arial" w:hAnsi="Arial" w:cs="Arial"/>
          <w:color w:val="000000" w:themeColor="text1"/>
          <w:sz w:val="20"/>
          <w:szCs w:val="20"/>
        </w:rPr>
      </w:pPr>
      <w:r w:rsidRPr="00B309C9">
        <w:rPr>
          <w:rFonts w:ascii="Arial" w:hAnsi="Arial" w:cs="Arial"/>
          <w:color w:val="000000" w:themeColor="text1"/>
          <w:sz w:val="20"/>
          <w:szCs w:val="20"/>
        </w:rPr>
        <w:t xml:space="preserve">L’accroissement du chiffre d’affaires de </w:t>
      </w:r>
      <w:proofErr w:type="spellStart"/>
      <w:r w:rsidRPr="00B309C9">
        <w:rPr>
          <w:rFonts w:ascii="Arial" w:hAnsi="Arial" w:cs="Arial"/>
          <w:b/>
          <w:color w:val="000000" w:themeColor="text1"/>
          <w:sz w:val="20"/>
          <w:szCs w:val="20"/>
        </w:rPr>
        <w:t>VolkerWessels</w:t>
      </w:r>
      <w:proofErr w:type="spellEnd"/>
      <w:r w:rsidRPr="00B309C9">
        <w:rPr>
          <w:rFonts w:ascii="Arial" w:hAnsi="Arial" w:cs="Arial"/>
          <w:b/>
          <w:color w:val="000000" w:themeColor="text1"/>
          <w:sz w:val="20"/>
          <w:szCs w:val="20"/>
        </w:rPr>
        <w:t xml:space="preserve"> </w:t>
      </w:r>
      <w:r w:rsidRPr="00B309C9">
        <w:rPr>
          <w:rFonts w:ascii="Arial" w:hAnsi="Arial" w:cs="Arial"/>
          <w:color w:val="000000" w:themeColor="text1"/>
          <w:sz w:val="20"/>
          <w:szCs w:val="20"/>
        </w:rPr>
        <w:t xml:space="preserve">de 12,1% par rapport à 2018 est </w:t>
      </w:r>
      <w:r w:rsidR="005536E4">
        <w:rPr>
          <w:rFonts w:ascii="Arial" w:hAnsi="Arial" w:cs="Arial"/>
          <w:color w:val="000000" w:themeColor="text1"/>
          <w:sz w:val="20"/>
          <w:szCs w:val="20"/>
        </w:rPr>
        <w:t>lié</w:t>
      </w:r>
      <w:r w:rsidR="005536E4" w:rsidRPr="00B309C9">
        <w:rPr>
          <w:rFonts w:ascii="Arial" w:hAnsi="Arial" w:cs="Arial"/>
          <w:color w:val="000000" w:themeColor="text1"/>
          <w:sz w:val="20"/>
          <w:szCs w:val="20"/>
        </w:rPr>
        <w:t xml:space="preserve"> </w:t>
      </w:r>
      <w:r w:rsidRPr="00B309C9">
        <w:rPr>
          <w:rFonts w:ascii="Arial" w:hAnsi="Arial" w:cs="Arial"/>
          <w:color w:val="000000" w:themeColor="text1"/>
          <w:sz w:val="20"/>
          <w:szCs w:val="20"/>
        </w:rPr>
        <w:t>à un effet volume sur l’ensemble des segments, notamment sur sa branche Infrastructure en Allemagne et son département Energy &amp; Telecom Infrastructure au Pays-Bas, à l’exception de l’Amérique du Nord qui a subi des intempéries.</w:t>
      </w:r>
    </w:p>
    <w:p w14:paraId="52BFAD20" w14:textId="2D0C254E" w:rsidR="007B57E7" w:rsidRPr="00B309C9" w:rsidRDefault="007B57E7" w:rsidP="00B309C9">
      <w:pPr>
        <w:jc w:val="both"/>
        <w:rPr>
          <w:rFonts w:ascii="Arial" w:hAnsi="Arial" w:cs="Arial"/>
          <w:color w:val="000000" w:themeColor="text1"/>
          <w:sz w:val="20"/>
          <w:szCs w:val="20"/>
        </w:rPr>
      </w:pPr>
      <w:r w:rsidRPr="00B309C9">
        <w:rPr>
          <w:rFonts w:ascii="Arial" w:hAnsi="Arial" w:cs="Arial"/>
          <w:b/>
          <w:color w:val="000000" w:themeColor="text1"/>
          <w:sz w:val="20"/>
          <w:szCs w:val="20"/>
        </w:rPr>
        <w:t>Eiffage</w:t>
      </w:r>
      <w:r w:rsidRPr="00B309C9">
        <w:rPr>
          <w:rFonts w:ascii="Arial" w:hAnsi="Arial" w:cs="Arial"/>
          <w:color w:val="000000" w:themeColor="text1"/>
          <w:sz w:val="20"/>
          <w:szCs w:val="20"/>
        </w:rPr>
        <w:t xml:space="preserve"> voit son activité croitre de +10,7% par rapport à 2018. Cette hausse </w:t>
      </w:r>
      <w:r w:rsidR="005536E4">
        <w:rPr>
          <w:rFonts w:ascii="Arial" w:hAnsi="Arial" w:cs="Arial"/>
          <w:color w:val="000000" w:themeColor="text1"/>
          <w:sz w:val="20"/>
          <w:szCs w:val="20"/>
        </w:rPr>
        <w:t xml:space="preserve">est </w:t>
      </w:r>
      <w:r w:rsidRPr="00B309C9">
        <w:rPr>
          <w:rFonts w:ascii="Arial" w:hAnsi="Arial" w:cs="Arial"/>
          <w:color w:val="000000" w:themeColor="text1"/>
          <w:sz w:val="20"/>
          <w:szCs w:val="20"/>
        </w:rPr>
        <w:t>principalement en lien avec les bonnes performances de ses pôles « Construction » et « Infrastructures ». Le major français a bénéficié de la dynamique des projets du Grand Paris</w:t>
      </w:r>
      <w:r w:rsidRPr="00B309C9">
        <w:rPr>
          <w:rFonts w:ascii="Arial" w:hAnsi="Arial" w:cs="Arial"/>
          <w:color w:val="0070C0"/>
          <w:sz w:val="20"/>
          <w:szCs w:val="20"/>
        </w:rPr>
        <w:t xml:space="preserve"> </w:t>
      </w:r>
      <w:r w:rsidRPr="00B309C9">
        <w:rPr>
          <w:rFonts w:ascii="Arial" w:hAnsi="Arial" w:cs="Arial"/>
          <w:color w:val="000000" w:themeColor="text1"/>
          <w:sz w:val="20"/>
          <w:szCs w:val="20"/>
        </w:rPr>
        <w:t>ainsi que de la livraison de nombreux chantiers, notamment dans le secteur des transports en commun en site propre.</w:t>
      </w:r>
    </w:p>
    <w:p w14:paraId="1E617EEA" w14:textId="77777777" w:rsidR="007B57E7" w:rsidRPr="00B309C9" w:rsidRDefault="007B57E7" w:rsidP="00B309C9">
      <w:pPr>
        <w:jc w:val="both"/>
        <w:rPr>
          <w:rFonts w:ascii="Arial" w:hAnsi="Arial" w:cs="Arial"/>
          <w:color w:val="000000" w:themeColor="text1"/>
          <w:sz w:val="20"/>
          <w:szCs w:val="20"/>
        </w:rPr>
      </w:pPr>
    </w:p>
    <w:p w14:paraId="1D4EAC21" w14:textId="1C0258BA" w:rsidR="007B57E7" w:rsidRPr="00B309C9" w:rsidRDefault="007B57E7" w:rsidP="00B309C9">
      <w:pPr>
        <w:spacing w:after="200"/>
        <w:jc w:val="both"/>
        <w:rPr>
          <w:rFonts w:ascii="Arial" w:hAnsi="Arial" w:cs="Arial"/>
          <w:color w:val="000000" w:themeColor="text1"/>
          <w:sz w:val="20"/>
          <w:szCs w:val="20"/>
        </w:rPr>
      </w:pPr>
      <w:r w:rsidRPr="00B309C9">
        <w:rPr>
          <w:rFonts w:ascii="Arial" w:hAnsi="Arial" w:cs="Arial"/>
          <w:color w:val="000000" w:themeColor="text1"/>
          <w:sz w:val="20"/>
          <w:szCs w:val="20"/>
        </w:rPr>
        <w:t xml:space="preserve">La croissance de l’activité de </w:t>
      </w:r>
      <w:r w:rsidRPr="00B309C9">
        <w:rPr>
          <w:rFonts w:ascii="Arial" w:hAnsi="Arial" w:cs="Arial"/>
          <w:b/>
          <w:color w:val="000000" w:themeColor="text1"/>
          <w:sz w:val="20"/>
          <w:szCs w:val="20"/>
        </w:rPr>
        <w:t>Vinci</w:t>
      </w:r>
      <w:r w:rsidRPr="00B309C9">
        <w:rPr>
          <w:rFonts w:ascii="Arial" w:hAnsi="Arial" w:cs="Arial"/>
          <w:color w:val="000000" w:themeColor="text1"/>
          <w:sz w:val="20"/>
          <w:szCs w:val="20"/>
        </w:rPr>
        <w:t xml:space="preserve"> (10,4%) </w:t>
      </w:r>
      <w:r w:rsidR="005536E4">
        <w:rPr>
          <w:rFonts w:ascii="Arial" w:hAnsi="Arial" w:cs="Arial"/>
          <w:color w:val="000000" w:themeColor="text1"/>
          <w:sz w:val="20"/>
          <w:szCs w:val="20"/>
        </w:rPr>
        <w:t>est liée à la</w:t>
      </w:r>
      <w:r w:rsidRPr="00B309C9">
        <w:rPr>
          <w:rFonts w:ascii="Arial" w:hAnsi="Arial" w:cs="Arial"/>
          <w:color w:val="000000" w:themeColor="text1"/>
          <w:sz w:val="20"/>
          <w:szCs w:val="20"/>
        </w:rPr>
        <w:t xml:space="preserve"> croissance organique et </w:t>
      </w:r>
      <w:r w:rsidR="005536E4">
        <w:rPr>
          <w:rFonts w:ascii="Arial" w:hAnsi="Arial" w:cs="Arial"/>
          <w:color w:val="000000" w:themeColor="text1"/>
          <w:sz w:val="20"/>
          <w:szCs w:val="20"/>
        </w:rPr>
        <w:t xml:space="preserve">à la </w:t>
      </w:r>
      <w:r w:rsidRPr="00B309C9">
        <w:rPr>
          <w:rFonts w:ascii="Arial" w:hAnsi="Arial" w:cs="Arial"/>
          <w:color w:val="000000" w:themeColor="text1"/>
          <w:sz w:val="20"/>
          <w:szCs w:val="20"/>
        </w:rPr>
        <w:t>croissance externe</w:t>
      </w:r>
      <w:r w:rsidR="005536E4">
        <w:rPr>
          <w:rFonts w:ascii="Arial" w:hAnsi="Arial" w:cs="Arial"/>
          <w:color w:val="000000" w:themeColor="text1"/>
          <w:sz w:val="20"/>
          <w:szCs w:val="20"/>
        </w:rPr>
        <w:t>,</w:t>
      </w:r>
      <w:r w:rsidRPr="00B309C9">
        <w:rPr>
          <w:rFonts w:ascii="Arial" w:hAnsi="Arial" w:cs="Arial"/>
          <w:color w:val="000000" w:themeColor="text1"/>
          <w:sz w:val="20"/>
          <w:szCs w:val="20"/>
        </w:rPr>
        <w:t xml:space="preserve"> notamment </w:t>
      </w:r>
      <w:r w:rsidR="005536E4">
        <w:rPr>
          <w:rFonts w:ascii="Arial" w:hAnsi="Arial" w:cs="Arial"/>
          <w:color w:val="000000" w:themeColor="text1"/>
          <w:sz w:val="20"/>
          <w:szCs w:val="20"/>
        </w:rPr>
        <w:t>des</w:t>
      </w:r>
      <w:r w:rsidRPr="00B309C9">
        <w:rPr>
          <w:rFonts w:ascii="Arial" w:hAnsi="Arial" w:cs="Arial"/>
          <w:color w:val="000000" w:themeColor="text1"/>
          <w:sz w:val="20"/>
          <w:szCs w:val="20"/>
        </w:rPr>
        <w:t xml:space="preserve"> branches Concessions (aéroport de Londres Gatwick) et Énergie.</w:t>
      </w:r>
    </w:p>
    <w:p w14:paraId="7CC08D23" w14:textId="77777777" w:rsidR="007B57E7" w:rsidRPr="00B309C9" w:rsidRDefault="007B57E7" w:rsidP="00B309C9">
      <w:pPr>
        <w:spacing w:after="200"/>
        <w:jc w:val="both"/>
        <w:rPr>
          <w:rFonts w:ascii="Arial" w:hAnsi="Arial" w:cs="Arial"/>
          <w:color w:val="000000" w:themeColor="text1"/>
          <w:sz w:val="20"/>
          <w:szCs w:val="20"/>
        </w:rPr>
      </w:pPr>
      <w:r w:rsidRPr="00B309C9">
        <w:rPr>
          <w:rFonts w:ascii="Arial" w:hAnsi="Arial" w:cs="Arial"/>
          <w:sz w:val="20"/>
          <w:szCs w:val="20"/>
        </w:rPr>
        <w:t xml:space="preserve">La croissance du chiffre d’affaires de </w:t>
      </w:r>
      <w:r w:rsidRPr="00B309C9">
        <w:rPr>
          <w:rFonts w:ascii="Arial" w:hAnsi="Arial" w:cs="Arial"/>
          <w:b/>
          <w:sz w:val="20"/>
          <w:szCs w:val="20"/>
        </w:rPr>
        <w:t>Balfour Beatty</w:t>
      </w:r>
      <w:r w:rsidRPr="00B309C9">
        <w:rPr>
          <w:rFonts w:ascii="Arial" w:hAnsi="Arial" w:cs="Arial"/>
          <w:sz w:val="20"/>
          <w:szCs w:val="20"/>
        </w:rPr>
        <w:t xml:space="preserve"> (+10,3 % par rapport à 2018) </w:t>
      </w:r>
      <w:r w:rsidRPr="00B309C9">
        <w:rPr>
          <w:rFonts w:ascii="Arial" w:hAnsi="Arial" w:cs="Arial"/>
          <w:color w:val="000000" w:themeColor="text1"/>
          <w:sz w:val="20"/>
          <w:szCs w:val="20"/>
        </w:rPr>
        <w:t>s’explique par le développement de la partie infrastructure</w:t>
      </w:r>
      <w:r w:rsidRPr="00B309C9">
        <w:rPr>
          <w:rFonts w:ascii="Arial" w:hAnsi="Arial" w:cs="Arial"/>
          <w:sz w:val="20"/>
          <w:szCs w:val="20"/>
        </w:rPr>
        <w:t>s</w:t>
      </w:r>
      <w:r w:rsidRPr="00B309C9">
        <w:rPr>
          <w:rFonts w:ascii="Arial" w:hAnsi="Arial" w:cs="Arial"/>
          <w:color w:val="000000" w:themeColor="text1"/>
          <w:sz w:val="20"/>
          <w:szCs w:val="20"/>
        </w:rPr>
        <w:t xml:space="preserve">, ainsi que par sa politique de croissance externe avec l’acquisition en 2019 d’une vingtaine d’entreprises de tailles diverses. </w:t>
      </w:r>
    </w:p>
    <w:p w14:paraId="6FB37514" w14:textId="467DD179" w:rsidR="007B57E7" w:rsidRDefault="007B57E7" w:rsidP="00B309C9">
      <w:pPr>
        <w:jc w:val="both"/>
        <w:rPr>
          <w:rFonts w:ascii="Arial" w:hAnsi="Arial" w:cs="Arial"/>
          <w:color w:val="000000" w:themeColor="text1"/>
          <w:sz w:val="20"/>
          <w:szCs w:val="20"/>
        </w:rPr>
      </w:pPr>
    </w:p>
    <w:p w14:paraId="63D9F289" w14:textId="3B3A5AF8" w:rsidR="00CC7239" w:rsidRDefault="00CC7239" w:rsidP="00B309C9">
      <w:pPr>
        <w:jc w:val="both"/>
        <w:rPr>
          <w:rFonts w:ascii="Arial" w:hAnsi="Arial" w:cs="Arial"/>
          <w:color w:val="000000" w:themeColor="text1"/>
          <w:sz w:val="20"/>
          <w:szCs w:val="20"/>
        </w:rPr>
      </w:pPr>
    </w:p>
    <w:p w14:paraId="48C0B6D5" w14:textId="2432E1F2" w:rsidR="00CC7239" w:rsidRDefault="00CC7239" w:rsidP="00B309C9">
      <w:pPr>
        <w:jc w:val="both"/>
        <w:rPr>
          <w:rFonts w:ascii="Arial" w:hAnsi="Arial" w:cs="Arial"/>
          <w:color w:val="000000" w:themeColor="text1"/>
          <w:sz w:val="20"/>
          <w:szCs w:val="20"/>
        </w:rPr>
      </w:pPr>
    </w:p>
    <w:p w14:paraId="4F12CF37" w14:textId="1FA443B4" w:rsidR="00CC7239" w:rsidRDefault="00CC7239" w:rsidP="00B309C9">
      <w:pPr>
        <w:jc w:val="both"/>
        <w:rPr>
          <w:rFonts w:ascii="Arial" w:hAnsi="Arial" w:cs="Arial"/>
          <w:color w:val="000000" w:themeColor="text1"/>
          <w:sz w:val="20"/>
          <w:szCs w:val="20"/>
        </w:rPr>
      </w:pPr>
    </w:p>
    <w:p w14:paraId="189AFE97" w14:textId="77777777" w:rsidR="00CC7239" w:rsidRPr="00B309C9" w:rsidRDefault="00CC7239" w:rsidP="00B309C9">
      <w:pPr>
        <w:jc w:val="both"/>
        <w:rPr>
          <w:rFonts w:ascii="Arial" w:hAnsi="Arial" w:cs="Arial"/>
          <w:color w:val="000000" w:themeColor="text1"/>
          <w:sz w:val="20"/>
          <w:szCs w:val="20"/>
        </w:rPr>
      </w:pPr>
    </w:p>
    <w:p w14:paraId="472F41DC" w14:textId="1C21FDE0" w:rsidR="007B57E7" w:rsidRPr="00B309C9" w:rsidRDefault="00C01B3A" w:rsidP="00B309C9">
      <w:pPr>
        <w:jc w:val="both"/>
        <w:rPr>
          <w:rFonts w:ascii="Arial" w:hAnsi="Arial" w:cs="Arial"/>
          <w:b/>
          <w:bCs/>
          <w:sz w:val="20"/>
          <w:szCs w:val="20"/>
        </w:rPr>
      </w:pPr>
      <w:r w:rsidRPr="00B309C9">
        <w:rPr>
          <w:rFonts w:ascii="Arial" w:hAnsi="Arial" w:cs="Arial"/>
          <w:b/>
          <w:bCs/>
          <w:sz w:val="20"/>
          <w:szCs w:val="20"/>
        </w:rPr>
        <w:lastRenderedPageBreak/>
        <w:t>Une hausse continue du carnet de commandes</w:t>
      </w:r>
    </w:p>
    <w:p w14:paraId="6862D765" w14:textId="18566C95" w:rsidR="00C01B3A" w:rsidRPr="00B309C9" w:rsidRDefault="00C01B3A" w:rsidP="00B309C9">
      <w:pPr>
        <w:jc w:val="both"/>
        <w:rPr>
          <w:rFonts w:ascii="Arial" w:hAnsi="Arial" w:cs="Arial"/>
          <w:b/>
          <w:bCs/>
          <w:sz w:val="20"/>
          <w:szCs w:val="20"/>
        </w:rPr>
      </w:pPr>
    </w:p>
    <w:p w14:paraId="1E52484C" w14:textId="372C19BE" w:rsidR="00C01B3A" w:rsidRPr="00B309C9" w:rsidRDefault="00C01B3A" w:rsidP="00B309C9">
      <w:pPr>
        <w:jc w:val="both"/>
        <w:rPr>
          <w:rFonts w:ascii="Arial" w:hAnsi="Arial" w:cs="Arial"/>
          <w:sz w:val="20"/>
          <w:szCs w:val="20"/>
        </w:rPr>
      </w:pPr>
      <w:r w:rsidRPr="00B309C9">
        <w:rPr>
          <w:rFonts w:ascii="Arial" w:hAnsi="Arial" w:cs="Arial"/>
          <w:sz w:val="20"/>
          <w:szCs w:val="20"/>
        </w:rPr>
        <w:t>En 2019, les majors enregistrent pour la quatrième année consécutive une hausse de leur carnet de commandes pour les secteurs liés aux métiers de la construction, de +3,5 % en 2019, et ce malgré des niveaux déjà historiquement élevés (+3,1% en 2018 ; +2,7% en 2017 ; +5,9% en 2016).</w:t>
      </w:r>
    </w:p>
    <w:p w14:paraId="31794B78" w14:textId="31A488A6" w:rsidR="00B309C9" w:rsidRPr="00B309C9" w:rsidRDefault="00B309C9" w:rsidP="00B309C9">
      <w:pPr>
        <w:jc w:val="both"/>
        <w:rPr>
          <w:rFonts w:ascii="Arial" w:hAnsi="Arial" w:cs="Arial"/>
          <w:b/>
          <w:bCs/>
          <w:sz w:val="20"/>
          <w:szCs w:val="20"/>
          <w:lang w:eastAsia="en-US"/>
        </w:rPr>
      </w:pPr>
    </w:p>
    <w:p w14:paraId="43E0B3BF" w14:textId="77777777" w:rsidR="00361D32" w:rsidRDefault="00361D32" w:rsidP="00B309C9">
      <w:pPr>
        <w:jc w:val="both"/>
        <w:rPr>
          <w:rFonts w:ascii="Arial" w:hAnsi="Arial" w:cs="Arial"/>
          <w:b/>
          <w:bCs/>
          <w:sz w:val="20"/>
          <w:szCs w:val="20"/>
          <w:lang w:eastAsia="en-US"/>
        </w:rPr>
      </w:pPr>
    </w:p>
    <w:p w14:paraId="37DE93D0" w14:textId="0732D34C" w:rsidR="007D2150" w:rsidRPr="00B309C9" w:rsidRDefault="001858BB" w:rsidP="00B309C9">
      <w:pPr>
        <w:jc w:val="both"/>
        <w:rPr>
          <w:rFonts w:ascii="Arial" w:hAnsi="Arial" w:cs="Arial"/>
          <w:b/>
          <w:bCs/>
          <w:sz w:val="20"/>
          <w:szCs w:val="20"/>
          <w:lang w:eastAsia="en-US"/>
        </w:rPr>
      </w:pPr>
      <w:r w:rsidRPr="00B309C9">
        <w:rPr>
          <w:rFonts w:ascii="Arial" w:hAnsi="Arial" w:cs="Arial"/>
          <w:b/>
          <w:bCs/>
          <w:sz w:val="20"/>
          <w:szCs w:val="20"/>
          <w:lang w:eastAsia="en-US"/>
        </w:rPr>
        <w:t>D</w:t>
      </w:r>
      <w:r w:rsidR="001A0ACD" w:rsidRPr="00B309C9">
        <w:rPr>
          <w:rFonts w:ascii="Arial" w:hAnsi="Arial" w:cs="Arial"/>
          <w:b/>
          <w:bCs/>
          <w:sz w:val="20"/>
          <w:szCs w:val="20"/>
          <w:lang w:eastAsia="en-US"/>
        </w:rPr>
        <w:t>es situations contrastées en termes d’endettement net</w:t>
      </w:r>
      <w:r w:rsidR="001A0ACD" w:rsidRPr="00B309C9">
        <w:rPr>
          <w:rStyle w:val="Appelnotedebasdep"/>
          <w:rFonts w:ascii="Arial" w:hAnsi="Arial" w:cs="Arial"/>
          <w:b/>
          <w:bCs/>
          <w:sz w:val="20"/>
          <w:szCs w:val="20"/>
          <w:lang w:eastAsia="en-US"/>
        </w:rPr>
        <w:footnoteReference w:id="1"/>
      </w:r>
    </w:p>
    <w:p w14:paraId="263D70D3" w14:textId="533EFF10" w:rsidR="00DF7C2E" w:rsidRPr="00B309C9" w:rsidRDefault="00DF7C2E" w:rsidP="00B309C9">
      <w:pPr>
        <w:jc w:val="both"/>
        <w:rPr>
          <w:rFonts w:ascii="Arial" w:hAnsi="Arial" w:cs="Arial"/>
          <w:sz w:val="20"/>
          <w:szCs w:val="20"/>
        </w:rPr>
      </w:pPr>
    </w:p>
    <w:p w14:paraId="7E5CB5EA" w14:textId="62CE7DD6" w:rsidR="007B57E7" w:rsidRPr="00B309C9" w:rsidRDefault="007B57E7" w:rsidP="00B309C9">
      <w:pPr>
        <w:jc w:val="both"/>
        <w:rPr>
          <w:rFonts w:ascii="Arial" w:hAnsi="Arial" w:cs="Arial"/>
          <w:b/>
          <w:bCs/>
          <w:sz w:val="20"/>
          <w:szCs w:val="20"/>
        </w:rPr>
      </w:pPr>
      <w:r w:rsidRPr="00B309C9">
        <w:rPr>
          <w:rFonts w:ascii="Arial" w:hAnsi="Arial" w:cs="Arial"/>
          <w:b/>
          <w:bCs/>
          <w:sz w:val="20"/>
          <w:szCs w:val="20"/>
        </w:rPr>
        <w:t>Sur ces cinq dernières années, les majors ont très fortement réduit leur endettement net</w:t>
      </w:r>
      <w:r w:rsidR="005536E4">
        <w:rPr>
          <w:rFonts w:ascii="Arial" w:hAnsi="Arial" w:cs="Arial"/>
          <w:b/>
          <w:bCs/>
          <w:sz w:val="20"/>
          <w:szCs w:val="20"/>
        </w:rPr>
        <w:t xml:space="preserve"> </w:t>
      </w:r>
      <w:r w:rsidRPr="00B309C9">
        <w:rPr>
          <w:rFonts w:ascii="Arial" w:hAnsi="Arial" w:cs="Arial"/>
          <w:b/>
          <w:bCs/>
          <w:sz w:val="20"/>
          <w:szCs w:val="20"/>
        </w:rPr>
        <w:t>(-38% en 5 ans), à l’exception des groupes ayant une activité de concession qui ont poursuivi leurs investissements (+58% en 5 ans).</w:t>
      </w:r>
    </w:p>
    <w:p w14:paraId="45BBC4B9" w14:textId="13497E25" w:rsidR="007B57E7" w:rsidRPr="00B309C9" w:rsidRDefault="007B57E7" w:rsidP="00B309C9">
      <w:pPr>
        <w:jc w:val="both"/>
        <w:rPr>
          <w:rFonts w:ascii="Arial" w:hAnsi="Arial" w:cs="Arial"/>
          <w:sz w:val="20"/>
          <w:szCs w:val="20"/>
        </w:rPr>
      </w:pPr>
      <w:r w:rsidRPr="00B309C9">
        <w:rPr>
          <w:rFonts w:ascii="Arial" w:hAnsi="Arial" w:cs="Arial"/>
          <w:sz w:val="20"/>
          <w:szCs w:val="20"/>
        </w:rPr>
        <w:t xml:space="preserve">La hausse marquée de l’endettement net des groupes ayant une activité de concession porte sur les deux dernières années et sur deux majors : </w:t>
      </w:r>
      <w:proofErr w:type="spellStart"/>
      <w:r w:rsidRPr="00B309C9">
        <w:rPr>
          <w:rFonts w:ascii="Arial" w:hAnsi="Arial" w:cs="Arial"/>
          <w:sz w:val="20"/>
          <w:szCs w:val="20"/>
        </w:rPr>
        <w:t>Altantia</w:t>
      </w:r>
      <w:proofErr w:type="spellEnd"/>
      <w:r w:rsidRPr="00B309C9">
        <w:rPr>
          <w:rFonts w:ascii="Arial" w:hAnsi="Arial" w:cs="Arial"/>
          <w:sz w:val="20"/>
          <w:szCs w:val="20"/>
        </w:rPr>
        <w:t xml:space="preserve"> et Vinci. Ils contribuent fortement à l’endettement global du Panel (respectivement 44,1% et 26,0% de l’endettement net total chiffré à 83 Mds€).</w:t>
      </w:r>
    </w:p>
    <w:p w14:paraId="0579194D" w14:textId="63C8D1F1" w:rsidR="001A0ACD" w:rsidRPr="00B309C9" w:rsidRDefault="001A0ACD" w:rsidP="00B309C9">
      <w:pPr>
        <w:jc w:val="both"/>
        <w:rPr>
          <w:rFonts w:ascii="Arial" w:hAnsi="Arial" w:cs="Arial"/>
          <w:sz w:val="20"/>
          <w:szCs w:val="20"/>
        </w:rPr>
      </w:pPr>
    </w:p>
    <w:p w14:paraId="6C338891" w14:textId="11CC59DF" w:rsidR="007B57E7" w:rsidRPr="00B309C9" w:rsidRDefault="007B57E7" w:rsidP="00B309C9">
      <w:pPr>
        <w:jc w:val="both"/>
        <w:rPr>
          <w:rFonts w:ascii="Arial" w:hAnsi="Arial" w:cs="Arial"/>
          <w:sz w:val="20"/>
          <w:szCs w:val="20"/>
        </w:rPr>
      </w:pPr>
      <w:r w:rsidRPr="00B309C9">
        <w:rPr>
          <w:rFonts w:ascii="Arial" w:hAnsi="Arial" w:cs="Arial"/>
          <w:sz w:val="20"/>
          <w:szCs w:val="20"/>
        </w:rPr>
        <w:t>Cette forte progression est en lien avec l’acquisition d’</w:t>
      </w:r>
      <w:proofErr w:type="spellStart"/>
      <w:r w:rsidRPr="00B309C9">
        <w:rPr>
          <w:rFonts w:ascii="Arial" w:hAnsi="Arial" w:cs="Arial"/>
          <w:sz w:val="20"/>
          <w:szCs w:val="20"/>
        </w:rPr>
        <w:t>Abertis</w:t>
      </w:r>
      <w:proofErr w:type="spellEnd"/>
      <w:r w:rsidRPr="00B309C9">
        <w:rPr>
          <w:rFonts w:ascii="Arial" w:hAnsi="Arial" w:cs="Arial"/>
          <w:sz w:val="20"/>
          <w:szCs w:val="20"/>
        </w:rPr>
        <w:t>, venue tripler l’endettement net d’</w:t>
      </w:r>
      <w:proofErr w:type="spellStart"/>
      <w:r w:rsidRPr="00B309C9">
        <w:rPr>
          <w:rFonts w:ascii="Arial" w:hAnsi="Arial" w:cs="Arial"/>
          <w:sz w:val="20"/>
          <w:szCs w:val="20"/>
        </w:rPr>
        <w:t>Atlantia</w:t>
      </w:r>
      <w:proofErr w:type="spellEnd"/>
      <w:r w:rsidRPr="00B309C9">
        <w:rPr>
          <w:rFonts w:ascii="Arial" w:hAnsi="Arial" w:cs="Arial"/>
          <w:sz w:val="20"/>
          <w:szCs w:val="20"/>
        </w:rPr>
        <w:t xml:space="preserve"> en 2018, et l’acquisition de l’aéroport de Londres Gatwick en 2019 pour Vinci.</w:t>
      </w:r>
    </w:p>
    <w:p w14:paraId="6EE0B3EB" w14:textId="77777777" w:rsidR="001A0ACD" w:rsidRPr="00B309C9" w:rsidRDefault="001A0ACD" w:rsidP="00B309C9">
      <w:pPr>
        <w:jc w:val="both"/>
        <w:rPr>
          <w:rFonts w:ascii="Arial" w:hAnsi="Arial" w:cs="Arial"/>
          <w:sz w:val="20"/>
          <w:szCs w:val="20"/>
        </w:rPr>
      </w:pPr>
    </w:p>
    <w:p w14:paraId="5B93798B" w14:textId="26BE77E0" w:rsidR="007B57E7" w:rsidRDefault="007B57E7" w:rsidP="00B309C9">
      <w:pPr>
        <w:jc w:val="both"/>
        <w:rPr>
          <w:rFonts w:ascii="Arial" w:hAnsi="Arial" w:cs="Arial"/>
          <w:b/>
          <w:bCs/>
          <w:sz w:val="20"/>
          <w:szCs w:val="20"/>
        </w:rPr>
      </w:pPr>
      <w:r w:rsidRPr="00B309C9">
        <w:rPr>
          <w:rFonts w:ascii="Arial" w:hAnsi="Arial" w:cs="Arial"/>
          <w:b/>
          <w:bCs/>
          <w:sz w:val="20"/>
          <w:szCs w:val="20"/>
        </w:rPr>
        <w:t>La trésorerie des groupes du Panel repart à la hausse en 2019, après une légère baisse liée à l’effet taux de change sur l’exercice 2018, pour atteindre 45 Mds€ en 2019, représentant une hausse de 40% en 5 ans.</w:t>
      </w:r>
    </w:p>
    <w:p w14:paraId="33B57986" w14:textId="77777777" w:rsidR="00361D32" w:rsidRDefault="00361D32" w:rsidP="004C56EF">
      <w:pPr>
        <w:jc w:val="both"/>
        <w:rPr>
          <w:rFonts w:ascii="Arial" w:hAnsi="Arial" w:cs="Arial"/>
          <w:b/>
          <w:bCs/>
          <w:sz w:val="20"/>
          <w:szCs w:val="20"/>
          <w:lang w:eastAsia="en-US"/>
        </w:rPr>
      </w:pPr>
    </w:p>
    <w:p w14:paraId="338CDEE1" w14:textId="77777777" w:rsidR="00361D32" w:rsidRDefault="00361D32" w:rsidP="00B309C9">
      <w:pPr>
        <w:autoSpaceDE w:val="0"/>
        <w:autoSpaceDN w:val="0"/>
        <w:adjustRightInd w:val="0"/>
        <w:jc w:val="both"/>
        <w:rPr>
          <w:rFonts w:ascii="Arial" w:hAnsi="Arial" w:cs="Arial"/>
          <w:b/>
          <w:bCs/>
          <w:sz w:val="20"/>
          <w:szCs w:val="20"/>
          <w:lang w:eastAsia="en-US"/>
        </w:rPr>
      </w:pPr>
    </w:p>
    <w:p w14:paraId="7D7078D3" w14:textId="484E83F3" w:rsidR="00361D32" w:rsidRDefault="008075AB" w:rsidP="00B309C9">
      <w:pPr>
        <w:autoSpaceDE w:val="0"/>
        <w:autoSpaceDN w:val="0"/>
        <w:adjustRightInd w:val="0"/>
        <w:jc w:val="both"/>
        <w:rPr>
          <w:rFonts w:ascii="Arial" w:hAnsi="Arial" w:cs="Arial"/>
          <w:b/>
          <w:bCs/>
          <w:sz w:val="20"/>
          <w:szCs w:val="20"/>
          <w:lang w:eastAsia="en-US"/>
        </w:rPr>
      </w:pPr>
      <w:r w:rsidRPr="008075AB">
        <w:rPr>
          <w:noProof/>
        </w:rPr>
        <w:drawing>
          <wp:inline distT="0" distB="0" distL="0" distR="0" wp14:anchorId="0728DF64" wp14:editId="370D96FB">
            <wp:extent cx="5760720" cy="369379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693795"/>
                    </a:xfrm>
                    <a:prstGeom prst="rect">
                      <a:avLst/>
                    </a:prstGeom>
                  </pic:spPr>
                </pic:pic>
              </a:graphicData>
            </a:graphic>
          </wp:inline>
        </w:drawing>
      </w:r>
    </w:p>
    <w:p w14:paraId="291351FE" w14:textId="59992704" w:rsidR="00361D32" w:rsidRDefault="00361D32" w:rsidP="00B309C9">
      <w:pPr>
        <w:autoSpaceDE w:val="0"/>
        <w:autoSpaceDN w:val="0"/>
        <w:adjustRightInd w:val="0"/>
        <w:jc w:val="both"/>
        <w:rPr>
          <w:rFonts w:ascii="Arial" w:hAnsi="Arial" w:cs="Arial"/>
          <w:b/>
          <w:bCs/>
          <w:sz w:val="20"/>
          <w:szCs w:val="20"/>
          <w:lang w:eastAsia="en-US"/>
        </w:rPr>
      </w:pPr>
    </w:p>
    <w:p w14:paraId="7AC881C9" w14:textId="77777777" w:rsidR="00361D32" w:rsidRDefault="00361D32" w:rsidP="00B309C9">
      <w:pPr>
        <w:autoSpaceDE w:val="0"/>
        <w:autoSpaceDN w:val="0"/>
        <w:adjustRightInd w:val="0"/>
        <w:jc w:val="both"/>
        <w:rPr>
          <w:rFonts w:ascii="Arial" w:hAnsi="Arial" w:cs="Arial"/>
          <w:b/>
          <w:bCs/>
          <w:sz w:val="20"/>
          <w:szCs w:val="20"/>
          <w:lang w:eastAsia="en-US"/>
        </w:rPr>
      </w:pPr>
    </w:p>
    <w:p w14:paraId="26070B70" w14:textId="653D468D" w:rsidR="007B57E7" w:rsidRPr="00B309C9" w:rsidRDefault="000101BE" w:rsidP="00B309C9">
      <w:pPr>
        <w:autoSpaceDE w:val="0"/>
        <w:autoSpaceDN w:val="0"/>
        <w:adjustRightInd w:val="0"/>
        <w:jc w:val="both"/>
        <w:rPr>
          <w:rFonts w:ascii="Arial" w:hAnsi="Arial" w:cs="Arial"/>
          <w:b/>
          <w:bCs/>
          <w:sz w:val="20"/>
          <w:szCs w:val="20"/>
          <w:highlight w:val="yellow"/>
          <w:lang w:eastAsia="en-US"/>
        </w:rPr>
      </w:pPr>
      <w:r w:rsidRPr="00B309C9">
        <w:rPr>
          <w:rFonts w:ascii="Arial" w:hAnsi="Arial" w:cs="Arial"/>
          <w:b/>
          <w:bCs/>
          <w:sz w:val="20"/>
          <w:szCs w:val="20"/>
          <w:lang w:eastAsia="en-US"/>
        </w:rPr>
        <w:t>Analyse des disponibilités nettes</w:t>
      </w:r>
      <w:r w:rsidRPr="00B309C9">
        <w:rPr>
          <w:rStyle w:val="Appelnotedebasdep"/>
          <w:rFonts w:ascii="Arial" w:hAnsi="Arial" w:cs="Arial"/>
          <w:b/>
          <w:bCs/>
          <w:sz w:val="20"/>
          <w:szCs w:val="20"/>
          <w:lang w:eastAsia="en-US"/>
        </w:rPr>
        <w:footnoteReference w:id="2"/>
      </w:r>
      <w:r w:rsidRPr="00B309C9">
        <w:rPr>
          <w:rFonts w:ascii="Arial" w:hAnsi="Arial" w:cs="Arial"/>
          <w:b/>
          <w:bCs/>
          <w:sz w:val="20"/>
          <w:szCs w:val="20"/>
          <w:lang w:eastAsia="en-US"/>
        </w:rPr>
        <w:t xml:space="preserve"> par rapport à l’activité à fin 2019</w:t>
      </w:r>
    </w:p>
    <w:p w14:paraId="5EC3C425" w14:textId="2586AED6" w:rsidR="007B57E7" w:rsidRPr="00B309C9" w:rsidRDefault="007B57E7" w:rsidP="00B309C9">
      <w:pPr>
        <w:autoSpaceDE w:val="0"/>
        <w:autoSpaceDN w:val="0"/>
        <w:adjustRightInd w:val="0"/>
        <w:jc w:val="both"/>
        <w:rPr>
          <w:rFonts w:ascii="Arial" w:hAnsi="Arial" w:cs="Arial"/>
          <w:sz w:val="20"/>
          <w:szCs w:val="20"/>
          <w:highlight w:val="yellow"/>
          <w:lang w:eastAsia="en-US"/>
        </w:rPr>
      </w:pPr>
    </w:p>
    <w:p w14:paraId="7F107277" w14:textId="77777777" w:rsidR="007B57E7" w:rsidRPr="00B309C9" w:rsidRDefault="007B57E7" w:rsidP="00B309C9">
      <w:pPr>
        <w:jc w:val="both"/>
        <w:rPr>
          <w:rFonts w:ascii="Arial" w:hAnsi="Arial" w:cs="Arial"/>
          <w:sz w:val="20"/>
          <w:szCs w:val="20"/>
        </w:rPr>
      </w:pPr>
      <w:proofErr w:type="spellStart"/>
      <w:r w:rsidRPr="00B309C9">
        <w:rPr>
          <w:rFonts w:ascii="Arial" w:hAnsi="Arial" w:cs="Arial"/>
          <w:sz w:val="20"/>
          <w:szCs w:val="20"/>
        </w:rPr>
        <w:t>Ferrovial</w:t>
      </w:r>
      <w:proofErr w:type="spellEnd"/>
      <w:r w:rsidRPr="00B309C9">
        <w:rPr>
          <w:rFonts w:ascii="Arial" w:hAnsi="Arial" w:cs="Arial"/>
          <w:sz w:val="20"/>
          <w:szCs w:val="20"/>
        </w:rPr>
        <w:t xml:space="preserve"> et </w:t>
      </w:r>
      <w:proofErr w:type="spellStart"/>
      <w:r w:rsidRPr="00B309C9">
        <w:rPr>
          <w:rFonts w:ascii="Arial" w:hAnsi="Arial" w:cs="Arial"/>
          <w:sz w:val="20"/>
          <w:szCs w:val="20"/>
        </w:rPr>
        <w:t>Atlantia</w:t>
      </w:r>
      <w:proofErr w:type="spellEnd"/>
      <w:r w:rsidRPr="00B309C9">
        <w:rPr>
          <w:rFonts w:ascii="Arial" w:hAnsi="Arial" w:cs="Arial"/>
          <w:sz w:val="20"/>
          <w:szCs w:val="20"/>
        </w:rPr>
        <w:t xml:space="preserve"> se démarquent respectivement avec des ratios disponibilités nettes / chiffre d’affaires de 78,2% et 44,7% en 2019, alors que le ratio moyen des groupes du Panel s’élève à 19,4%. </w:t>
      </w:r>
    </w:p>
    <w:p w14:paraId="307D2A36" w14:textId="7927F1CE" w:rsidR="00B309C9" w:rsidRDefault="007B57E7" w:rsidP="00B309C9">
      <w:pPr>
        <w:jc w:val="both"/>
        <w:rPr>
          <w:rFonts w:ascii="Arial" w:hAnsi="Arial" w:cs="Arial"/>
          <w:sz w:val="20"/>
          <w:szCs w:val="20"/>
        </w:rPr>
      </w:pPr>
      <w:r w:rsidRPr="00B309C9">
        <w:rPr>
          <w:rFonts w:ascii="Arial" w:hAnsi="Arial" w:cs="Arial"/>
          <w:sz w:val="20"/>
          <w:szCs w:val="20"/>
        </w:rPr>
        <w:t>Le ratio moyen des groupes français ressort à 14,9%, soit 4,5 points en-deçà de la moyenne des groupes du Panel.</w:t>
      </w:r>
    </w:p>
    <w:p w14:paraId="0C745A5C" w14:textId="66BB2BE6" w:rsidR="00361D32" w:rsidRDefault="00361D32" w:rsidP="00B309C9">
      <w:pPr>
        <w:jc w:val="both"/>
        <w:rPr>
          <w:rFonts w:ascii="Arial" w:hAnsi="Arial" w:cs="Arial"/>
          <w:sz w:val="20"/>
          <w:szCs w:val="20"/>
        </w:rPr>
      </w:pPr>
    </w:p>
    <w:p w14:paraId="35900467" w14:textId="77777777" w:rsidR="00361D32" w:rsidRDefault="00361D32" w:rsidP="00B309C9">
      <w:pPr>
        <w:jc w:val="both"/>
        <w:rPr>
          <w:rFonts w:ascii="Arial" w:hAnsi="Arial" w:cs="Arial"/>
          <w:sz w:val="20"/>
          <w:szCs w:val="20"/>
        </w:rPr>
      </w:pPr>
    </w:p>
    <w:p w14:paraId="6F24C4F8" w14:textId="04FE3F6A" w:rsidR="000101BE" w:rsidRPr="00B309C9" w:rsidRDefault="000101BE" w:rsidP="00B309C9">
      <w:pPr>
        <w:jc w:val="both"/>
        <w:rPr>
          <w:rFonts w:ascii="Arial" w:hAnsi="Arial" w:cs="Arial"/>
          <w:sz w:val="20"/>
          <w:szCs w:val="20"/>
        </w:rPr>
      </w:pPr>
      <w:r w:rsidRPr="00B309C9">
        <w:rPr>
          <w:rFonts w:ascii="Arial" w:hAnsi="Arial" w:cs="Arial"/>
          <w:b/>
          <w:bCs/>
          <w:sz w:val="20"/>
          <w:szCs w:val="20"/>
          <w:lang w:eastAsia="en-US"/>
        </w:rPr>
        <w:t>Endettement brut, trésorerie</w:t>
      </w:r>
      <w:r w:rsidRPr="00B309C9">
        <w:rPr>
          <w:rStyle w:val="Appelnotedebasdep"/>
          <w:rFonts w:ascii="Arial" w:hAnsi="Arial" w:cs="Arial"/>
          <w:b/>
          <w:bCs/>
          <w:sz w:val="20"/>
          <w:szCs w:val="20"/>
          <w:lang w:eastAsia="en-US"/>
        </w:rPr>
        <w:footnoteReference w:id="3"/>
      </w:r>
      <w:r w:rsidRPr="00B309C9">
        <w:rPr>
          <w:rFonts w:ascii="Arial" w:hAnsi="Arial" w:cs="Arial"/>
          <w:b/>
          <w:bCs/>
          <w:sz w:val="20"/>
          <w:szCs w:val="20"/>
          <w:lang w:eastAsia="en-US"/>
        </w:rPr>
        <w:t xml:space="preserve"> et lignes de crédit non tirées</w:t>
      </w:r>
    </w:p>
    <w:p w14:paraId="0EB5AE42" w14:textId="210C1115" w:rsidR="000101BE" w:rsidRPr="00B309C9" w:rsidRDefault="000101BE" w:rsidP="00B309C9">
      <w:pPr>
        <w:jc w:val="both"/>
        <w:rPr>
          <w:rFonts w:ascii="Arial" w:hAnsi="Arial" w:cs="Arial"/>
          <w:sz w:val="20"/>
          <w:szCs w:val="20"/>
        </w:rPr>
      </w:pPr>
    </w:p>
    <w:p w14:paraId="0C0CD2B3" w14:textId="28CD7DDD" w:rsidR="00812F25" w:rsidRDefault="00C26CD8" w:rsidP="00B309C9">
      <w:pPr>
        <w:jc w:val="both"/>
        <w:rPr>
          <w:rFonts w:ascii="Arial" w:hAnsi="Arial" w:cs="Arial"/>
          <w:sz w:val="20"/>
          <w:szCs w:val="20"/>
        </w:rPr>
      </w:pPr>
      <w:r w:rsidRPr="00C26CD8">
        <w:rPr>
          <w:noProof/>
        </w:rPr>
        <w:drawing>
          <wp:inline distT="0" distB="0" distL="0" distR="0" wp14:anchorId="6009FB5F" wp14:editId="74C44665">
            <wp:extent cx="5760720" cy="35039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503930"/>
                    </a:xfrm>
                    <a:prstGeom prst="rect">
                      <a:avLst/>
                    </a:prstGeom>
                  </pic:spPr>
                </pic:pic>
              </a:graphicData>
            </a:graphic>
          </wp:inline>
        </w:drawing>
      </w:r>
    </w:p>
    <w:p w14:paraId="6E6253C9" w14:textId="77777777" w:rsidR="00C26CD8" w:rsidRPr="00B309C9" w:rsidRDefault="00C26CD8" w:rsidP="00B309C9">
      <w:pPr>
        <w:jc w:val="both"/>
        <w:rPr>
          <w:rFonts w:ascii="Arial" w:hAnsi="Arial" w:cs="Arial"/>
          <w:sz w:val="20"/>
          <w:szCs w:val="20"/>
        </w:rPr>
      </w:pPr>
    </w:p>
    <w:p w14:paraId="65CDA1AA" w14:textId="20D90E5D" w:rsidR="000101BE" w:rsidRPr="00B309C9" w:rsidRDefault="000101BE" w:rsidP="00B309C9">
      <w:pPr>
        <w:jc w:val="both"/>
        <w:rPr>
          <w:rFonts w:ascii="Arial" w:hAnsi="Arial" w:cs="Arial"/>
          <w:b/>
          <w:bCs/>
          <w:sz w:val="20"/>
          <w:szCs w:val="20"/>
        </w:rPr>
      </w:pPr>
      <w:r w:rsidRPr="00B309C9">
        <w:rPr>
          <w:rFonts w:ascii="Arial" w:hAnsi="Arial" w:cs="Arial"/>
          <w:b/>
          <w:bCs/>
          <w:sz w:val="20"/>
          <w:szCs w:val="20"/>
        </w:rPr>
        <w:t xml:space="preserve">Sur les 17 groupes du Panel, 4 présentent un excédent net à fin d’année 2019 : Balfour Beatty (0,2 Md€), Royal BAM Group (0,6 Md€), </w:t>
      </w:r>
      <w:proofErr w:type="spellStart"/>
      <w:r w:rsidRPr="00B309C9">
        <w:rPr>
          <w:rFonts w:ascii="Arial" w:hAnsi="Arial" w:cs="Arial"/>
          <w:b/>
          <w:bCs/>
          <w:sz w:val="20"/>
          <w:szCs w:val="20"/>
        </w:rPr>
        <w:t>VolkerWessels</w:t>
      </w:r>
      <w:proofErr w:type="spellEnd"/>
      <w:r w:rsidRPr="00B309C9">
        <w:rPr>
          <w:rFonts w:ascii="Arial" w:hAnsi="Arial" w:cs="Arial"/>
          <w:b/>
          <w:bCs/>
          <w:sz w:val="20"/>
          <w:szCs w:val="20"/>
        </w:rPr>
        <w:t xml:space="preserve"> (0,6 Md€) et </w:t>
      </w:r>
      <w:proofErr w:type="spellStart"/>
      <w:r w:rsidRPr="00B309C9">
        <w:rPr>
          <w:rFonts w:ascii="Arial" w:hAnsi="Arial" w:cs="Arial"/>
          <w:b/>
          <w:bCs/>
          <w:sz w:val="20"/>
          <w:szCs w:val="20"/>
        </w:rPr>
        <w:t>Strabag</w:t>
      </w:r>
      <w:proofErr w:type="spellEnd"/>
      <w:r w:rsidRPr="00B309C9">
        <w:rPr>
          <w:rFonts w:ascii="Arial" w:hAnsi="Arial" w:cs="Arial"/>
          <w:b/>
          <w:bCs/>
          <w:sz w:val="20"/>
          <w:szCs w:val="20"/>
        </w:rPr>
        <w:t xml:space="preserve"> (1,1 Md€).</w:t>
      </w:r>
    </w:p>
    <w:p w14:paraId="4208D98E" w14:textId="77777777" w:rsidR="00F84A21" w:rsidRPr="00B309C9" w:rsidRDefault="00F84A21" w:rsidP="00B309C9">
      <w:pPr>
        <w:jc w:val="both"/>
        <w:rPr>
          <w:rFonts w:ascii="Arial" w:hAnsi="Arial" w:cs="Arial"/>
          <w:b/>
          <w:bCs/>
          <w:sz w:val="20"/>
          <w:szCs w:val="20"/>
        </w:rPr>
      </w:pPr>
    </w:p>
    <w:p w14:paraId="1CBFD159" w14:textId="688EF945" w:rsidR="000101BE" w:rsidRPr="00B309C9" w:rsidRDefault="000101BE" w:rsidP="00B309C9">
      <w:pPr>
        <w:jc w:val="both"/>
        <w:rPr>
          <w:rFonts w:ascii="Arial" w:hAnsi="Arial" w:cs="Arial"/>
          <w:b/>
          <w:bCs/>
          <w:sz w:val="20"/>
          <w:szCs w:val="20"/>
        </w:rPr>
      </w:pPr>
      <w:r w:rsidRPr="00B309C9">
        <w:rPr>
          <w:rFonts w:ascii="Arial" w:hAnsi="Arial" w:cs="Arial"/>
          <w:b/>
          <w:bCs/>
          <w:sz w:val="20"/>
          <w:szCs w:val="20"/>
        </w:rPr>
        <w:t>Par ailleurs, 3 groupes se démarquent particulièrement avec un endettement net supérieur à celui des autres majors (</w:t>
      </w:r>
      <w:proofErr w:type="spellStart"/>
      <w:r w:rsidRPr="00B309C9">
        <w:rPr>
          <w:rFonts w:ascii="Arial" w:hAnsi="Arial" w:cs="Arial"/>
          <w:b/>
          <w:bCs/>
          <w:sz w:val="20"/>
          <w:szCs w:val="20"/>
        </w:rPr>
        <w:t>Atlantia</w:t>
      </w:r>
      <w:proofErr w:type="spellEnd"/>
      <w:r w:rsidRPr="00B309C9">
        <w:rPr>
          <w:rFonts w:ascii="Arial" w:hAnsi="Arial" w:cs="Arial"/>
          <w:b/>
          <w:bCs/>
          <w:sz w:val="20"/>
          <w:szCs w:val="20"/>
        </w:rPr>
        <w:t xml:space="preserve"> : -36,7 Mds€, Vinci : -21,7 Mds€ et Eiffage : -10,2 Mds€), notamment en lien avec des opérations de croissance externe dans le secteur des concessions. </w:t>
      </w:r>
    </w:p>
    <w:p w14:paraId="4FFDC05B" w14:textId="77777777" w:rsidR="00F84A21" w:rsidRPr="00B309C9" w:rsidRDefault="00F84A21" w:rsidP="00B309C9">
      <w:pPr>
        <w:jc w:val="both"/>
        <w:rPr>
          <w:rFonts w:ascii="Arial" w:hAnsi="Arial" w:cs="Arial"/>
          <w:sz w:val="20"/>
          <w:szCs w:val="20"/>
        </w:rPr>
      </w:pPr>
    </w:p>
    <w:p w14:paraId="5020070C" w14:textId="2AAC83FF" w:rsidR="000101BE" w:rsidRPr="00B309C9" w:rsidRDefault="000101BE" w:rsidP="00B309C9">
      <w:pPr>
        <w:jc w:val="both"/>
        <w:rPr>
          <w:rFonts w:ascii="Arial" w:hAnsi="Arial" w:cs="Arial"/>
          <w:b/>
          <w:bCs/>
          <w:sz w:val="20"/>
          <w:szCs w:val="20"/>
        </w:rPr>
      </w:pPr>
      <w:r w:rsidRPr="00B309C9">
        <w:rPr>
          <w:rFonts w:ascii="Arial" w:hAnsi="Arial" w:cs="Arial"/>
          <w:b/>
          <w:bCs/>
          <w:sz w:val="20"/>
          <w:szCs w:val="20"/>
        </w:rPr>
        <w:t>Pour la majorité des majors européens du BTP, l’analyse des agrégats financiers présentés ci-dessus fait ressortir une santé financière certaine des groupes à fin 2019, au regard notamment de leur niveau de liquidité et de la diminution de leur endettement net ces dernières années.</w:t>
      </w:r>
    </w:p>
    <w:p w14:paraId="7F24D584" w14:textId="20E34964" w:rsidR="007B57E7" w:rsidRPr="00B309C9" w:rsidRDefault="007B57E7" w:rsidP="00B309C9">
      <w:pPr>
        <w:jc w:val="both"/>
        <w:rPr>
          <w:rFonts w:ascii="Arial" w:hAnsi="Arial" w:cs="Arial"/>
          <w:color w:val="000000" w:themeColor="text1"/>
          <w:sz w:val="20"/>
          <w:szCs w:val="20"/>
          <w:highlight w:val="yellow"/>
        </w:rPr>
      </w:pPr>
    </w:p>
    <w:p w14:paraId="43202496" w14:textId="41FB1155" w:rsidR="007B57E7" w:rsidRPr="00B309C9" w:rsidRDefault="007B57E7" w:rsidP="00B309C9">
      <w:pPr>
        <w:pStyle w:val="Paragraphedeliste"/>
        <w:ind w:left="360"/>
        <w:jc w:val="both"/>
        <w:rPr>
          <w:rFonts w:ascii="Arial" w:hAnsi="Arial" w:cs="Arial"/>
          <w:sz w:val="20"/>
          <w:szCs w:val="20"/>
        </w:rPr>
      </w:pPr>
      <w:r w:rsidRPr="00B309C9">
        <w:rPr>
          <w:rFonts w:ascii="Arial" w:hAnsi="Arial" w:cs="Arial"/>
          <w:sz w:val="20"/>
          <w:szCs w:val="20"/>
        </w:rPr>
        <w:t xml:space="preserve"> </w:t>
      </w:r>
    </w:p>
    <w:p w14:paraId="45CB1ABF" w14:textId="6C4E123E" w:rsidR="00812F25" w:rsidRPr="00B309C9" w:rsidRDefault="00812F25" w:rsidP="00B309C9">
      <w:pPr>
        <w:jc w:val="both"/>
        <w:rPr>
          <w:rFonts w:ascii="Arial" w:hAnsi="Arial" w:cs="Arial"/>
          <w:b/>
          <w:bCs/>
          <w:sz w:val="20"/>
          <w:szCs w:val="20"/>
          <w:lang w:eastAsia="en-US"/>
        </w:rPr>
      </w:pPr>
      <w:r w:rsidRPr="00B309C9">
        <w:rPr>
          <w:rFonts w:ascii="Arial" w:hAnsi="Arial" w:cs="Arial"/>
          <w:b/>
          <w:bCs/>
          <w:sz w:val="20"/>
          <w:szCs w:val="20"/>
          <w:lang w:eastAsia="en-US"/>
        </w:rPr>
        <w:t xml:space="preserve">Rentabilité des majors par secteur </w:t>
      </w:r>
    </w:p>
    <w:p w14:paraId="0DA4DA00" w14:textId="77777777" w:rsidR="007B57E7" w:rsidRPr="00B309C9" w:rsidRDefault="007B57E7" w:rsidP="00B309C9">
      <w:pPr>
        <w:autoSpaceDE w:val="0"/>
        <w:autoSpaceDN w:val="0"/>
        <w:adjustRightInd w:val="0"/>
        <w:jc w:val="both"/>
        <w:rPr>
          <w:rFonts w:ascii="Arial" w:hAnsi="Arial" w:cs="Arial"/>
          <w:sz w:val="20"/>
          <w:szCs w:val="20"/>
          <w:highlight w:val="yellow"/>
          <w:lang w:eastAsia="en-US"/>
        </w:rPr>
      </w:pPr>
    </w:p>
    <w:p w14:paraId="1D14CBAC" w14:textId="557ABF75" w:rsidR="00361D32" w:rsidRPr="00B309C9" w:rsidRDefault="00812F25" w:rsidP="00361D32">
      <w:pPr>
        <w:jc w:val="both"/>
        <w:rPr>
          <w:rFonts w:ascii="Arial" w:hAnsi="Arial" w:cs="Arial"/>
          <w:sz w:val="20"/>
          <w:szCs w:val="20"/>
        </w:rPr>
      </w:pPr>
      <w:r w:rsidRPr="00B309C9">
        <w:rPr>
          <w:rFonts w:ascii="Arial" w:hAnsi="Arial" w:cs="Arial"/>
          <w:sz w:val="20"/>
          <w:szCs w:val="20"/>
        </w:rPr>
        <w:t>Pour mener des comparaisons sectorielles compte tenu</w:t>
      </w:r>
      <w:r w:rsidRPr="00B309C9">
        <w:rPr>
          <w:rFonts w:ascii="Arial" w:hAnsi="Arial" w:cs="Arial"/>
          <w:noProof/>
          <w:sz w:val="20"/>
          <w:szCs w:val="20"/>
        </w:rPr>
        <w:t xml:space="preserve"> </w:t>
      </w:r>
      <w:r w:rsidRPr="00B309C9">
        <w:rPr>
          <w:rFonts w:ascii="Arial" w:hAnsi="Arial" w:cs="Arial"/>
          <w:sz w:val="20"/>
          <w:szCs w:val="20"/>
        </w:rPr>
        <w:t xml:space="preserve">des informations disponibles, l’activité des majors européens </w:t>
      </w:r>
      <w:r w:rsidR="00361D32">
        <w:rPr>
          <w:rFonts w:ascii="Arial" w:hAnsi="Arial" w:cs="Arial"/>
          <w:sz w:val="20"/>
          <w:szCs w:val="20"/>
        </w:rPr>
        <w:t>du</w:t>
      </w:r>
      <w:r w:rsidR="00F84A21" w:rsidRPr="00B309C9">
        <w:rPr>
          <w:rFonts w:ascii="Arial" w:hAnsi="Arial" w:cs="Arial"/>
          <w:sz w:val="20"/>
          <w:szCs w:val="20"/>
        </w:rPr>
        <w:t xml:space="preserve"> </w:t>
      </w:r>
      <w:r w:rsidRPr="00B309C9">
        <w:rPr>
          <w:rFonts w:ascii="Arial" w:hAnsi="Arial" w:cs="Arial"/>
          <w:sz w:val="20"/>
          <w:szCs w:val="20"/>
        </w:rPr>
        <w:t xml:space="preserve">Panel est ventilée selon 6 secteurs d’activité, dont 5 sont liés aux métiers de la </w:t>
      </w:r>
      <w:r w:rsidR="00315EDD" w:rsidRPr="00B309C9">
        <w:rPr>
          <w:rFonts w:ascii="Arial" w:hAnsi="Arial" w:cs="Arial"/>
          <w:sz w:val="20"/>
          <w:szCs w:val="20"/>
        </w:rPr>
        <w:t>construction</w:t>
      </w:r>
      <w:r w:rsidR="00315EDD">
        <w:rPr>
          <w:rFonts w:ascii="Arial" w:hAnsi="Arial" w:cs="Arial"/>
          <w:sz w:val="20"/>
          <w:szCs w:val="20"/>
        </w:rPr>
        <w:t>.</w:t>
      </w:r>
    </w:p>
    <w:p w14:paraId="5C3EAC75" w14:textId="3A2FFEA6" w:rsidR="00812F25" w:rsidRPr="00B309C9" w:rsidRDefault="00812F25" w:rsidP="00B309C9">
      <w:pPr>
        <w:jc w:val="both"/>
        <w:rPr>
          <w:rFonts w:ascii="Arial" w:hAnsi="Arial" w:cs="Arial"/>
          <w:sz w:val="20"/>
          <w:szCs w:val="20"/>
        </w:rPr>
      </w:pPr>
    </w:p>
    <w:p w14:paraId="2C18DBB4" w14:textId="6AD55369" w:rsidR="00361D32" w:rsidRDefault="00C26CD8" w:rsidP="00B309C9">
      <w:pPr>
        <w:jc w:val="both"/>
        <w:rPr>
          <w:rFonts w:ascii="Arial" w:hAnsi="Arial" w:cs="Arial"/>
          <w:sz w:val="20"/>
          <w:szCs w:val="20"/>
        </w:rPr>
      </w:pPr>
      <w:r w:rsidRPr="00C26CD8">
        <w:rPr>
          <w:noProof/>
        </w:rPr>
        <w:drawing>
          <wp:inline distT="0" distB="0" distL="0" distR="0" wp14:anchorId="15829990" wp14:editId="4E49DDB0">
            <wp:extent cx="5505450" cy="15144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05450" cy="1514475"/>
                    </a:xfrm>
                    <a:prstGeom prst="rect">
                      <a:avLst/>
                    </a:prstGeom>
                  </pic:spPr>
                </pic:pic>
              </a:graphicData>
            </a:graphic>
          </wp:inline>
        </w:drawing>
      </w:r>
    </w:p>
    <w:p w14:paraId="3C4EE7B1" w14:textId="77777777" w:rsidR="00751681" w:rsidRDefault="00751681" w:rsidP="00B309C9">
      <w:pPr>
        <w:jc w:val="both"/>
        <w:rPr>
          <w:rFonts w:ascii="Arial" w:hAnsi="Arial" w:cs="Arial"/>
          <w:sz w:val="20"/>
          <w:szCs w:val="20"/>
        </w:rPr>
      </w:pPr>
    </w:p>
    <w:p w14:paraId="2D681512" w14:textId="14EDD8EF" w:rsidR="001A558C" w:rsidRDefault="001A558C" w:rsidP="00751681">
      <w:pPr>
        <w:jc w:val="center"/>
        <w:rPr>
          <w:rFonts w:ascii="Arial" w:hAnsi="Arial" w:cs="Arial"/>
          <w:sz w:val="20"/>
          <w:szCs w:val="20"/>
        </w:rPr>
      </w:pPr>
    </w:p>
    <w:p w14:paraId="5C29D2F5" w14:textId="0F87E27B" w:rsidR="0023401C" w:rsidRDefault="0023401C" w:rsidP="00751681">
      <w:pPr>
        <w:jc w:val="center"/>
        <w:rPr>
          <w:rFonts w:ascii="Arial" w:hAnsi="Arial" w:cs="Arial"/>
          <w:sz w:val="20"/>
          <w:szCs w:val="20"/>
        </w:rPr>
      </w:pPr>
      <w:r w:rsidRPr="0023401C">
        <w:rPr>
          <w:noProof/>
        </w:rPr>
        <w:drawing>
          <wp:inline distT="0" distB="0" distL="0" distR="0" wp14:anchorId="5D371463" wp14:editId="2515F53B">
            <wp:extent cx="4857750" cy="60102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0" cy="6010275"/>
                    </a:xfrm>
                    <a:prstGeom prst="rect">
                      <a:avLst/>
                    </a:prstGeom>
                  </pic:spPr>
                </pic:pic>
              </a:graphicData>
            </a:graphic>
          </wp:inline>
        </w:drawing>
      </w:r>
    </w:p>
    <w:p w14:paraId="6B0837E3" w14:textId="77777777" w:rsidR="0023401C" w:rsidRDefault="0023401C" w:rsidP="00751681">
      <w:pPr>
        <w:jc w:val="center"/>
        <w:rPr>
          <w:rFonts w:ascii="Arial" w:hAnsi="Arial" w:cs="Arial"/>
          <w:sz w:val="20"/>
          <w:szCs w:val="20"/>
        </w:rPr>
      </w:pPr>
    </w:p>
    <w:p w14:paraId="4A522301" w14:textId="445CB49D" w:rsidR="00812F25" w:rsidRPr="00B309C9" w:rsidRDefault="00F84A21" w:rsidP="00B309C9">
      <w:pPr>
        <w:autoSpaceDE w:val="0"/>
        <w:autoSpaceDN w:val="0"/>
        <w:adjustRightInd w:val="0"/>
        <w:jc w:val="both"/>
        <w:rPr>
          <w:rFonts w:ascii="Arial" w:hAnsi="Arial" w:cs="Arial"/>
          <w:b/>
          <w:bCs/>
          <w:sz w:val="20"/>
          <w:szCs w:val="20"/>
          <w:lang w:eastAsia="en-US"/>
        </w:rPr>
      </w:pPr>
      <w:r w:rsidRPr="00B309C9">
        <w:rPr>
          <w:rFonts w:ascii="Arial" w:hAnsi="Arial" w:cs="Arial"/>
          <w:b/>
          <w:bCs/>
          <w:sz w:val="20"/>
          <w:szCs w:val="20"/>
          <w:lang w:eastAsia="en-US"/>
        </w:rPr>
        <w:t>L’impact de la crise COVID19</w:t>
      </w:r>
    </w:p>
    <w:p w14:paraId="79B48574" w14:textId="63C60440" w:rsidR="00812F25" w:rsidRPr="00B309C9" w:rsidRDefault="00812F25" w:rsidP="00B309C9">
      <w:pPr>
        <w:autoSpaceDE w:val="0"/>
        <w:autoSpaceDN w:val="0"/>
        <w:adjustRightInd w:val="0"/>
        <w:jc w:val="both"/>
        <w:rPr>
          <w:rFonts w:ascii="Arial" w:hAnsi="Arial" w:cs="Arial"/>
          <w:sz w:val="20"/>
          <w:szCs w:val="20"/>
          <w:highlight w:val="yellow"/>
          <w:lang w:eastAsia="en-US"/>
        </w:rPr>
      </w:pPr>
    </w:p>
    <w:p w14:paraId="57D02F2E" w14:textId="434EC911" w:rsidR="00F84A21" w:rsidRPr="00B309C9" w:rsidRDefault="00F84A21" w:rsidP="00B309C9">
      <w:pPr>
        <w:autoSpaceDE w:val="0"/>
        <w:autoSpaceDN w:val="0"/>
        <w:adjustRightInd w:val="0"/>
        <w:jc w:val="both"/>
        <w:rPr>
          <w:rFonts w:ascii="Arial" w:hAnsi="Arial" w:cs="Arial"/>
          <w:sz w:val="20"/>
          <w:szCs w:val="20"/>
          <w:lang w:eastAsia="en-US"/>
        </w:rPr>
      </w:pPr>
      <w:r w:rsidRPr="00B309C9">
        <w:rPr>
          <w:rFonts w:ascii="Arial" w:hAnsi="Arial" w:cs="Arial"/>
          <w:sz w:val="20"/>
          <w:szCs w:val="20"/>
          <w:lang w:eastAsia="en-US"/>
        </w:rPr>
        <w:t xml:space="preserve">La crise sanitaire liée à la Covid-19 vient néanmoins menacer ces bons résultats et les objectifs des majors pour les prochains mois, puisque la plupart des pays ont imposé un confinement, engendrant irrémédiablement un ralentissement de l’activité. </w:t>
      </w:r>
    </w:p>
    <w:p w14:paraId="68AEEBB3" w14:textId="77777777" w:rsidR="00F84A21" w:rsidRPr="00B309C9" w:rsidRDefault="00F84A21" w:rsidP="00B309C9">
      <w:pPr>
        <w:autoSpaceDE w:val="0"/>
        <w:autoSpaceDN w:val="0"/>
        <w:adjustRightInd w:val="0"/>
        <w:jc w:val="both"/>
        <w:rPr>
          <w:rFonts w:ascii="Arial" w:hAnsi="Arial" w:cs="Arial"/>
          <w:sz w:val="20"/>
          <w:szCs w:val="20"/>
          <w:lang w:eastAsia="en-US"/>
        </w:rPr>
      </w:pPr>
    </w:p>
    <w:p w14:paraId="34E26F41" w14:textId="0865CC1C" w:rsidR="00F84A21" w:rsidRPr="00B309C9" w:rsidRDefault="00F84A21" w:rsidP="00B309C9">
      <w:pPr>
        <w:autoSpaceDE w:val="0"/>
        <w:autoSpaceDN w:val="0"/>
        <w:adjustRightInd w:val="0"/>
        <w:jc w:val="both"/>
        <w:rPr>
          <w:rFonts w:ascii="Arial" w:hAnsi="Arial" w:cs="Arial"/>
          <w:b/>
          <w:bCs/>
          <w:sz w:val="20"/>
          <w:szCs w:val="20"/>
          <w:highlight w:val="yellow"/>
          <w:lang w:eastAsia="en-US"/>
        </w:rPr>
      </w:pPr>
      <w:r w:rsidRPr="00B309C9">
        <w:rPr>
          <w:rFonts w:ascii="Arial" w:hAnsi="Arial" w:cs="Arial"/>
          <w:b/>
          <w:bCs/>
          <w:sz w:val="20"/>
          <w:szCs w:val="20"/>
          <w:lang w:eastAsia="en-US"/>
        </w:rPr>
        <w:t>Au cours du premier trimestre 2020, les majors européens</w:t>
      </w:r>
      <w:r w:rsidR="00453CD8" w:rsidRPr="00B309C9">
        <w:rPr>
          <w:rFonts w:ascii="Arial" w:hAnsi="Arial" w:cs="Arial"/>
          <w:b/>
          <w:bCs/>
          <w:sz w:val="20"/>
          <w:szCs w:val="20"/>
          <w:lang w:eastAsia="en-US"/>
        </w:rPr>
        <w:t xml:space="preserve"> </w:t>
      </w:r>
      <w:r w:rsidRPr="00B309C9">
        <w:rPr>
          <w:rFonts w:ascii="Arial" w:hAnsi="Arial" w:cs="Arial"/>
          <w:b/>
          <w:bCs/>
          <w:sz w:val="20"/>
          <w:szCs w:val="20"/>
          <w:lang w:eastAsia="en-US"/>
        </w:rPr>
        <w:t xml:space="preserve">ont généré une activité trimestrielle, supérieure à la moyenne de ces 5 dernières années de 9,6%, et en hausse de 2,2% par rapport au 1er trimestre 2019, malgré les premiers impacts de la </w:t>
      </w:r>
      <w:r w:rsidR="00C528C6">
        <w:rPr>
          <w:rFonts w:ascii="Arial" w:hAnsi="Arial" w:cs="Arial"/>
          <w:b/>
          <w:bCs/>
          <w:sz w:val="20"/>
          <w:szCs w:val="20"/>
          <w:lang w:eastAsia="en-US"/>
        </w:rPr>
        <w:t xml:space="preserve">crise du </w:t>
      </w:r>
      <w:r w:rsidRPr="00B309C9">
        <w:rPr>
          <w:rFonts w:ascii="Arial" w:hAnsi="Arial" w:cs="Arial"/>
          <w:b/>
          <w:bCs/>
          <w:sz w:val="20"/>
          <w:szCs w:val="20"/>
          <w:lang w:eastAsia="en-US"/>
        </w:rPr>
        <w:t>Covid-19.</w:t>
      </w:r>
    </w:p>
    <w:p w14:paraId="31845517" w14:textId="660D0DC8" w:rsidR="00F84A21" w:rsidRDefault="00F84A21" w:rsidP="00B309C9">
      <w:pPr>
        <w:autoSpaceDE w:val="0"/>
        <w:autoSpaceDN w:val="0"/>
        <w:adjustRightInd w:val="0"/>
        <w:jc w:val="both"/>
        <w:rPr>
          <w:rFonts w:ascii="Arial" w:hAnsi="Arial" w:cs="Arial"/>
          <w:sz w:val="20"/>
          <w:szCs w:val="20"/>
          <w:highlight w:val="yellow"/>
          <w:lang w:eastAsia="en-US"/>
        </w:rPr>
      </w:pPr>
    </w:p>
    <w:p w14:paraId="3F9CBEF0" w14:textId="65FA117F" w:rsidR="00485654" w:rsidRPr="00B309C9" w:rsidRDefault="00485654" w:rsidP="00B309C9">
      <w:pPr>
        <w:autoSpaceDE w:val="0"/>
        <w:autoSpaceDN w:val="0"/>
        <w:adjustRightInd w:val="0"/>
        <w:jc w:val="both"/>
        <w:rPr>
          <w:rFonts w:ascii="Arial" w:hAnsi="Arial" w:cs="Arial"/>
          <w:sz w:val="20"/>
          <w:szCs w:val="20"/>
          <w:highlight w:val="yellow"/>
          <w:lang w:eastAsia="en-US"/>
        </w:rPr>
      </w:pPr>
    </w:p>
    <w:p w14:paraId="5682F047" w14:textId="03FD1A5C" w:rsidR="00F84A21" w:rsidRPr="00B309C9" w:rsidRDefault="00F84A21" w:rsidP="00B309C9">
      <w:pPr>
        <w:jc w:val="both"/>
        <w:rPr>
          <w:rFonts w:ascii="Arial" w:hAnsi="Arial" w:cs="Arial"/>
          <w:sz w:val="20"/>
          <w:szCs w:val="20"/>
          <w:highlight w:val="yellow"/>
          <w:lang w:eastAsia="en-US"/>
        </w:rPr>
      </w:pPr>
      <w:r w:rsidRPr="00B309C9">
        <w:rPr>
          <w:rFonts w:ascii="Arial" w:hAnsi="Arial" w:cs="Arial"/>
          <w:b/>
          <w:bCs/>
          <w:sz w:val="20"/>
          <w:szCs w:val="20"/>
        </w:rPr>
        <w:t>Bien que le premier trimestre 2020 ne traduit pas, pour l’ensemble des majors, l’impact de cette crise inédite, les groupes français présentent déjà un recul moyen de 2,7% de leur activité par rapport au premier trimestre 2019.</w:t>
      </w:r>
      <w:r w:rsidRPr="00B309C9">
        <w:rPr>
          <w:rFonts w:ascii="Arial" w:hAnsi="Arial" w:cs="Arial"/>
          <w:sz w:val="20"/>
          <w:szCs w:val="20"/>
        </w:rPr>
        <w:t xml:space="preserve"> Les majors français sont en effet impactés plus particulièrement sur les métiers du BTP (-6,3% par rapport au T1 2019), de la Route (-8,9%) et de l’Immobilier (-14,8%), suite aux mesures de confinement en France appliquées dès mi-mars 2020. </w:t>
      </w:r>
    </w:p>
    <w:p w14:paraId="1B8C9FBC" w14:textId="4B4EEBDA" w:rsidR="00F84A21" w:rsidRPr="00B309C9" w:rsidRDefault="00F84A21" w:rsidP="00B309C9">
      <w:pPr>
        <w:autoSpaceDE w:val="0"/>
        <w:autoSpaceDN w:val="0"/>
        <w:adjustRightInd w:val="0"/>
        <w:jc w:val="both"/>
        <w:rPr>
          <w:rFonts w:ascii="Arial" w:hAnsi="Arial" w:cs="Arial"/>
          <w:sz w:val="20"/>
          <w:szCs w:val="20"/>
        </w:rPr>
      </w:pPr>
    </w:p>
    <w:p w14:paraId="218CADB4" w14:textId="77777777" w:rsidR="00F84A21" w:rsidRPr="00B309C9" w:rsidRDefault="00F84A21" w:rsidP="00B309C9">
      <w:pPr>
        <w:autoSpaceDE w:val="0"/>
        <w:autoSpaceDN w:val="0"/>
        <w:adjustRightInd w:val="0"/>
        <w:jc w:val="both"/>
        <w:rPr>
          <w:rFonts w:ascii="Arial" w:hAnsi="Arial" w:cs="Arial"/>
          <w:sz w:val="20"/>
          <w:szCs w:val="20"/>
        </w:rPr>
      </w:pPr>
    </w:p>
    <w:p w14:paraId="23605AE8" w14:textId="77777777" w:rsidR="00F84A21" w:rsidRPr="00B309C9" w:rsidRDefault="00F84A21" w:rsidP="00B309C9">
      <w:pPr>
        <w:autoSpaceDE w:val="0"/>
        <w:autoSpaceDN w:val="0"/>
        <w:adjustRightInd w:val="0"/>
        <w:jc w:val="both"/>
        <w:rPr>
          <w:rFonts w:ascii="Arial" w:hAnsi="Arial" w:cs="Arial"/>
          <w:sz w:val="20"/>
          <w:szCs w:val="20"/>
        </w:rPr>
      </w:pPr>
    </w:p>
    <w:p w14:paraId="20F5357C" w14:textId="6B5661C3" w:rsidR="00B23440" w:rsidRPr="00B309C9" w:rsidRDefault="00542CAB" w:rsidP="00B309C9">
      <w:pPr>
        <w:jc w:val="both"/>
        <w:rPr>
          <w:rFonts w:ascii="Arial" w:hAnsi="Arial" w:cs="Arial"/>
          <w:b/>
          <w:bCs/>
          <w:sz w:val="20"/>
          <w:szCs w:val="20"/>
        </w:rPr>
      </w:pPr>
      <w:r w:rsidRPr="00B309C9">
        <w:rPr>
          <w:rFonts w:ascii="Arial" w:hAnsi="Arial" w:cs="Arial"/>
          <w:i/>
          <w:iCs/>
          <w:sz w:val="20"/>
          <w:szCs w:val="20"/>
        </w:rPr>
        <w:t>« Les majors européens, pour leur grande majorité, affichent une année 2019 satisfaisante en termes d’activité et présentent une santé financière certaine à travers une forte baisse de leur endettement net et un niveau de liquidité élevé. La diversité géographique de leur activité, qui permet de compenser les impacts de la crise dans les différents pays, ainsi que la diversité des métiers, l’industrialisation de leurs méthodes de travail et leur niveau de digitalisation constituent de réels atouts pour permettre aux majors de traverser cette période. Le deuxième trimestre 2020 devrait néanmoins être plus impacté, mais devra être analysé au regard de mesures prises par les Etats pour soutenir les entreprises du secteur au travers de plans de relance dans le BTP ou la poursuite des grands travaux »,</w:t>
      </w:r>
      <w:r w:rsidRPr="00B309C9">
        <w:rPr>
          <w:rFonts w:ascii="Arial" w:hAnsi="Arial" w:cs="Arial"/>
          <w:sz w:val="20"/>
          <w:szCs w:val="20"/>
        </w:rPr>
        <w:t xml:space="preserve"> conclut </w:t>
      </w:r>
      <w:r w:rsidR="00EF1A1B" w:rsidRPr="00B309C9">
        <w:rPr>
          <w:rFonts w:ascii="Arial" w:hAnsi="Arial" w:cs="Arial"/>
          <w:b/>
          <w:bCs/>
          <w:sz w:val="20"/>
          <w:szCs w:val="20"/>
        </w:rPr>
        <w:t xml:space="preserve">Olivier </w:t>
      </w:r>
      <w:proofErr w:type="spellStart"/>
      <w:r w:rsidR="00EF1A1B" w:rsidRPr="00B309C9">
        <w:rPr>
          <w:rFonts w:ascii="Arial" w:hAnsi="Arial" w:cs="Arial"/>
          <w:b/>
          <w:bCs/>
          <w:sz w:val="20"/>
          <w:szCs w:val="20"/>
        </w:rPr>
        <w:t>Thireau</w:t>
      </w:r>
      <w:proofErr w:type="spellEnd"/>
      <w:r w:rsidR="00EF1A1B" w:rsidRPr="00B309C9">
        <w:rPr>
          <w:rFonts w:ascii="Arial" w:hAnsi="Arial" w:cs="Arial"/>
          <w:b/>
          <w:bCs/>
          <w:sz w:val="20"/>
          <w:szCs w:val="20"/>
        </w:rPr>
        <w:t>, Associé responsable Immobilier &amp; BTP chez Mazars France.</w:t>
      </w:r>
    </w:p>
    <w:p w14:paraId="52164C72" w14:textId="77777777" w:rsidR="00812F25" w:rsidRPr="00B309C9" w:rsidRDefault="00812F25" w:rsidP="00B309C9">
      <w:pPr>
        <w:spacing w:before="240"/>
        <w:jc w:val="both"/>
        <w:rPr>
          <w:rFonts w:ascii="Arial" w:hAnsi="Arial" w:cs="Arial"/>
          <w:b/>
          <w:sz w:val="20"/>
          <w:szCs w:val="20"/>
          <w:lang w:eastAsia="en-US"/>
        </w:rPr>
      </w:pPr>
    </w:p>
    <w:p w14:paraId="7A119954" w14:textId="330A9E43" w:rsidR="000E738F" w:rsidRPr="000101BE" w:rsidRDefault="006823CC" w:rsidP="000101BE">
      <w:pPr>
        <w:spacing w:before="240"/>
        <w:jc w:val="both"/>
        <w:rPr>
          <w:rFonts w:ascii="Arial" w:hAnsi="Arial" w:cs="Arial"/>
          <w:b/>
          <w:sz w:val="20"/>
          <w:szCs w:val="20"/>
          <w:lang w:eastAsia="en-US"/>
        </w:rPr>
      </w:pPr>
      <w:r w:rsidRPr="000101BE">
        <w:rPr>
          <w:rFonts w:ascii="Arial" w:hAnsi="Arial" w:cs="Arial"/>
          <w:b/>
          <w:sz w:val="20"/>
          <w:szCs w:val="20"/>
          <w:lang w:eastAsia="en-US"/>
        </w:rPr>
        <w:t xml:space="preserve">L’étude </w:t>
      </w:r>
      <w:r w:rsidR="007D2150" w:rsidRPr="007D4F82">
        <w:rPr>
          <w:rFonts w:ascii="Arial" w:hAnsi="Arial" w:cs="Arial"/>
          <w:b/>
          <w:i/>
          <w:iCs/>
          <w:sz w:val="20"/>
          <w:szCs w:val="20"/>
          <w:lang w:eastAsia="en-US"/>
        </w:rPr>
        <w:t>« Les majors européens du BTP sont-ils armés pour affronter la crise ?</w:t>
      </w:r>
      <w:r w:rsidR="007D4F82" w:rsidRPr="007D4F82">
        <w:rPr>
          <w:rFonts w:ascii="Arial" w:hAnsi="Arial" w:cs="Arial"/>
          <w:b/>
          <w:i/>
          <w:iCs/>
          <w:sz w:val="20"/>
          <w:szCs w:val="20"/>
          <w:lang w:eastAsia="en-US"/>
        </w:rPr>
        <w:t> »</w:t>
      </w:r>
      <w:r w:rsidR="007D2150" w:rsidRPr="007D4F82">
        <w:rPr>
          <w:rFonts w:ascii="Arial" w:hAnsi="Arial" w:cs="Arial"/>
          <w:b/>
          <w:i/>
          <w:iCs/>
          <w:sz w:val="20"/>
          <w:szCs w:val="20"/>
          <w:lang w:eastAsia="en-US"/>
        </w:rPr>
        <w:t> </w:t>
      </w:r>
      <w:r w:rsidR="005628FC" w:rsidRPr="000101BE">
        <w:rPr>
          <w:rFonts w:ascii="Arial" w:hAnsi="Arial" w:cs="Arial"/>
          <w:b/>
          <w:sz w:val="20"/>
          <w:szCs w:val="20"/>
          <w:lang w:eastAsia="en-US"/>
        </w:rPr>
        <w:t>est disponible</w:t>
      </w:r>
      <w:r w:rsidRPr="000101BE">
        <w:rPr>
          <w:rFonts w:ascii="Arial" w:hAnsi="Arial" w:cs="Arial"/>
          <w:b/>
          <w:sz w:val="20"/>
          <w:szCs w:val="20"/>
          <w:lang w:eastAsia="en-US"/>
        </w:rPr>
        <w:t xml:space="preserve"> </w:t>
      </w:r>
      <w:r w:rsidR="007D2150" w:rsidRPr="000101BE">
        <w:rPr>
          <w:rFonts w:ascii="Arial" w:hAnsi="Arial" w:cs="Arial"/>
          <w:b/>
          <w:sz w:val="20"/>
          <w:szCs w:val="20"/>
          <w:lang w:eastAsia="en-US"/>
        </w:rPr>
        <w:t xml:space="preserve">sur </w:t>
      </w:r>
      <w:hyperlink r:id="rId12" w:history="1">
        <w:r w:rsidR="009F1818" w:rsidRPr="009F1818">
          <w:rPr>
            <w:rStyle w:val="Lienhypertexte"/>
            <w:rFonts w:ascii="Arial" w:hAnsi="Arial" w:cs="Arial"/>
            <w:b/>
            <w:sz w:val="20"/>
            <w:szCs w:val="20"/>
            <w:lang w:eastAsia="en-US"/>
          </w:rPr>
          <w:t>ici</w:t>
        </w:r>
      </w:hyperlink>
      <w:r w:rsidR="009F1818">
        <w:rPr>
          <w:rFonts w:ascii="Arial" w:hAnsi="Arial" w:cs="Arial"/>
          <w:b/>
          <w:sz w:val="20"/>
          <w:szCs w:val="20"/>
          <w:lang w:eastAsia="en-US"/>
        </w:rPr>
        <w:t>.</w:t>
      </w:r>
    </w:p>
    <w:p w14:paraId="3D24BC17" w14:textId="1D70B166" w:rsidR="00A15BEF" w:rsidRDefault="00A15BEF" w:rsidP="000101BE">
      <w:pPr>
        <w:jc w:val="both"/>
        <w:rPr>
          <w:rFonts w:ascii="Arial" w:hAnsi="Arial" w:cs="Arial"/>
          <w:b/>
          <w:sz w:val="20"/>
          <w:szCs w:val="20"/>
          <w:lang w:eastAsia="en-US"/>
        </w:rPr>
      </w:pPr>
    </w:p>
    <w:p w14:paraId="07524C15" w14:textId="77777777" w:rsidR="00812F25" w:rsidRPr="000101BE" w:rsidRDefault="00812F25" w:rsidP="000101BE">
      <w:pPr>
        <w:jc w:val="both"/>
        <w:rPr>
          <w:rFonts w:ascii="Arial" w:hAnsi="Arial" w:cs="Arial"/>
          <w:b/>
          <w:sz w:val="20"/>
          <w:szCs w:val="20"/>
          <w:lang w:eastAsia="en-US"/>
        </w:rPr>
      </w:pPr>
    </w:p>
    <w:p w14:paraId="0A7B625C" w14:textId="3A79274F" w:rsidR="00812F25" w:rsidRDefault="00812F25" w:rsidP="000101BE">
      <w:pPr>
        <w:jc w:val="both"/>
        <w:rPr>
          <w:rFonts w:ascii="Arial" w:hAnsi="Arial" w:cs="Arial"/>
          <w:b/>
          <w:sz w:val="20"/>
          <w:szCs w:val="20"/>
          <w:lang w:eastAsia="en-US"/>
        </w:rPr>
      </w:pPr>
    </w:p>
    <w:p w14:paraId="0E48FA80" w14:textId="77777777" w:rsidR="00812F25" w:rsidRDefault="00812F25" w:rsidP="000101BE">
      <w:pPr>
        <w:jc w:val="both"/>
        <w:rPr>
          <w:rFonts w:ascii="Arial" w:hAnsi="Arial" w:cs="Arial"/>
          <w:b/>
          <w:sz w:val="20"/>
          <w:szCs w:val="20"/>
          <w:lang w:eastAsia="en-US"/>
        </w:rPr>
      </w:pPr>
    </w:p>
    <w:p w14:paraId="502EC94F" w14:textId="0EA5EB85" w:rsidR="007D2150" w:rsidRPr="00812F25" w:rsidRDefault="007D2150" w:rsidP="000101BE">
      <w:pPr>
        <w:jc w:val="both"/>
        <w:rPr>
          <w:rFonts w:ascii="Arial" w:hAnsi="Arial" w:cs="Arial"/>
          <w:sz w:val="18"/>
          <w:szCs w:val="18"/>
        </w:rPr>
      </w:pPr>
      <w:r w:rsidRPr="00812F25">
        <w:rPr>
          <w:rFonts w:ascii="Arial" w:hAnsi="Arial" w:cs="Arial"/>
          <w:b/>
          <w:sz w:val="18"/>
          <w:szCs w:val="18"/>
        </w:rPr>
        <w:t>CONTACTS PRESSE</w:t>
      </w:r>
    </w:p>
    <w:p w14:paraId="2DEDB6BD" w14:textId="77777777" w:rsidR="007D2150" w:rsidRPr="00812F25" w:rsidRDefault="007D2150" w:rsidP="000101BE">
      <w:pPr>
        <w:jc w:val="both"/>
        <w:rPr>
          <w:rFonts w:ascii="Arial" w:hAnsi="Arial" w:cs="Arial"/>
          <w:b/>
          <w:sz w:val="18"/>
          <w:szCs w:val="18"/>
        </w:rPr>
      </w:pPr>
    </w:p>
    <w:p w14:paraId="13883EBD" w14:textId="77777777" w:rsidR="007D2150" w:rsidRPr="00812F25" w:rsidRDefault="007D2150" w:rsidP="000101BE">
      <w:pPr>
        <w:jc w:val="both"/>
        <w:rPr>
          <w:rFonts w:ascii="Arial" w:hAnsi="Arial" w:cs="Arial"/>
          <w:b/>
          <w:sz w:val="18"/>
          <w:szCs w:val="18"/>
        </w:rPr>
      </w:pPr>
      <w:r w:rsidRPr="00812F25">
        <w:rPr>
          <w:rFonts w:ascii="Arial" w:hAnsi="Arial" w:cs="Arial"/>
          <w:b/>
          <w:sz w:val="18"/>
          <w:szCs w:val="18"/>
        </w:rPr>
        <w:t>Rumeur Publique</w:t>
      </w:r>
    </w:p>
    <w:p w14:paraId="6CDB9679" w14:textId="77777777" w:rsidR="007D2150" w:rsidRPr="00812F25" w:rsidRDefault="007D2150" w:rsidP="000101BE">
      <w:pPr>
        <w:jc w:val="both"/>
        <w:rPr>
          <w:rFonts w:ascii="Arial" w:hAnsi="Arial" w:cs="Arial"/>
          <w:sz w:val="18"/>
          <w:szCs w:val="18"/>
        </w:rPr>
      </w:pPr>
      <w:r w:rsidRPr="00812F25">
        <w:rPr>
          <w:rFonts w:ascii="Arial" w:hAnsi="Arial" w:cs="Arial"/>
          <w:sz w:val="18"/>
          <w:szCs w:val="18"/>
        </w:rPr>
        <w:t xml:space="preserve">Taline </w:t>
      </w:r>
      <w:proofErr w:type="spellStart"/>
      <w:r w:rsidRPr="00812F25">
        <w:rPr>
          <w:rFonts w:ascii="Arial" w:hAnsi="Arial" w:cs="Arial"/>
          <w:sz w:val="18"/>
          <w:szCs w:val="18"/>
        </w:rPr>
        <w:t>Sarkissian</w:t>
      </w:r>
      <w:proofErr w:type="spellEnd"/>
      <w:r w:rsidRPr="00812F25">
        <w:rPr>
          <w:rFonts w:ascii="Arial" w:hAnsi="Arial" w:cs="Arial"/>
          <w:sz w:val="18"/>
          <w:szCs w:val="18"/>
        </w:rPr>
        <w:t xml:space="preserve"> - 06 13 36 70 23 - </w:t>
      </w:r>
      <w:hyperlink r:id="rId13" w:history="1">
        <w:r w:rsidRPr="00812F25">
          <w:rPr>
            <w:rStyle w:val="Lienhypertexte"/>
            <w:rFonts w:ascii="Arial" w:hAnsi="Arial" w:cs="Arial"/>
            <w:sz w:val="18"/>
            <w:szCs w:val="18"/>
          </w:rPr>
          <w:t>taline.sarkissian@rumeurpublique.fr</w:t>
        </w:r>
      </w:hyperlink>
      <w:r w:rsidRPr="00812F25">
        <w:rPr>
          <w:rFonts w:ascii="Arial" w:hAnsi="Arial" w:cs="Arial"/>
          <w:sz w:val="18"/>
          <w:szCs w:val="18"/>
        </w:rPr>
        <w:t xml:space="preserve"> </w:t>
      </w:r>
    </w:p>
    <w:p w14:paraId="3F289A8A" w14:textId="77777777" w:rsidR="007D2150" w:rsidRPr="00812F25" w:rsidRDefault="007D2150" w:rsidP="000101BE">
      <w:pPr>
        <w:jc w:val="both"/>
        <w:rPr>
          <w:rFonts w:ascii="Arial" w:hAnsi="Arial" w:cs="Arial"/>
          <w:b/>
          <w:sz w:val="18"/>
          <w:szCs w:val="18"/>
        </w:rPr>
      </w:pPr>
    </w:p>
    <w:p w14:paraId="13BD8045" w14:textId="77777777" w:rsidR="007D2150" w:rsidRPr="00812F25" w:rsidRDefault="007D2150" w:rsidP="000101BE">
      <w:pPr>
        <w:jc w:val="both"/>
        <w:rPr>
          <w:rFonts w:ascii="Arial" w:hAnsi="Arial" w:cs="Arial"/>
          <w:b/>
          <w:sz w:val="18"/>
          <w:szCs w:val="18"/>
        </w:rPr>
      </w:pPr>
      <w:r w:rsidRPr="00812F25">
        <w:rPr>
          <w:rFonts w:ascii="Arial" w:hAnsi="Arial" w:cs="Arial"/>
          <w:b/>
          <w:sz w:val="18"/>
          <w:szCs w:val="18"/>
        </w:rPr>
        <w:t>Mazars</w:t>
      </w:r>
    </w:p>
    <w:p w14:paraId="67EE8C43" w14:textId="77777777" w:rsidR="007D2150" w:rsidRPr="00812F25" w:rsidRDefault="007D2150" w:rsidP="000101BE">
      <w:pPr>
        <w:jc w:val="both"/>
        <w:rPr>
          <w:rFonts w:ascii="Arial" w:hAnsi="Arial" w:cs="Arial"/>
          <w:bCs/>
          <w:sz w:val="18"/>
          <w:szCs w:val="18"/>
        </w:rPr>
      </w:pPr>
      <w:r w:rsidRPr="00812F25">
        <w:rPr>
          <w:rFonts w:ascii="Arial" w:hAnsi="Arial" w:cs="Arial"/>
          <w:bCs/>
          <w:sz w:val="18"/>
          <w:szCs w:val="18"/>
        </w:rPr>
        <w:t xml:space="preserve">Nathalie Lagos – Directrice Communication France – 06 65 20 30 08 - </w:t>
      </w:r>
      <w:hyperlink r:id="rId14" w:history="1">
        <w:r w:rsidRPr="00812F25">
          <w:rPr>
            <w:rStyle w:val="Lienhypertexte"/>
            <w:rFonts w:ascii="Arial" w:hAnsi="Arial" w:cs="Arial"/>
            <w:bCs/>
            <w:sz w:val="18"/>
            <w:szCs w:val="18"/>
          </w:rPr>
          <w:t>nathalie.lagos@mazars.fr</w:t>
        </w:r>
      </w:hyperlink>
    </w:p>
    <w:p w14:paraId="4587E532" w14:textId="77777777" w:rsidR="007D2150" w:rsidRPr="00812F25" w:rsidRDefault="007D2150" w:rsidP="000101BE">
      <w:pPr>
        <w:jc w:val="both"/>
        <w:rPr>
          <w:rFonts w:ascii="Arial" w:hAnsi="Arial" w:cs="Arial"/>
          <w:sz w:val="18"/>
          <w:szCs w:val="18"/>
        </w:rPr>
      </w:pPr>
      <w:r w:rsidRPr="00812F25">
        <w:rPr>
          <w:rFonts w:ascii="Arial" w:hAnsi="Arial" w:cs="Arial"/>
          <w:sz w:val="18"/>
          <w:szCs w:val="18"/>
        </w:rPr>
        <w:t xml:space="preserve">Aurore </w:t>
      </w:r>
      <w:proofErr w:type="spellStart"/>
      <w:r w:rsidRPr="00812F25">
        <w:rPr>
          <w:rFonts w:ascii="Arial" w:hAnsi="Arial" w:cs="Arial"/>
          <w:sz w:val="18"/>
          <w:szCs w:val="18"/>
        </w:rPr>
        <w:t>Angeli</w:t>
      </w:r>
      <w:proofErr w:type="spellEnd"/>
      <w:r w:rsidRPr="00812F25">
        <w:rPr>
          <w:rFonts w:ascii="Arial" w:hAnsi="Arial" w:cs="Arial"/>
          <w:sz w:val="18"/>
          <w:szCs w:val="18"/>
        </w:rPr>
        <w:t xml:space="preserve"> – Communication France – 06 03 78 89 84 – </w:t>
      </w:r>
      <w:hyperlink r:id="rId15" w:history="1">
        <w:r w:rsidRPr="00812F25">
          <w:rPr>
            <w:rStyle w:val="Lienhypertexte"/>
            <w:rFonts w:ascii="Arial" w:hAnsi="Arial" w:cs="Arial"/>
            <w:sz w:val="18"/>
            <w:szCs w:val="18"/>
          </w:rPr>
          <w:t>aurore.angeli@mazars.fr</w:t>
        </w:r>
      </w:hyperlink>
      <w:r w:rsidRPr="00812F25">
        <w:rPr>
          <w:rFonts w:ascii="Arial" w:hAnsi="Arial" w:cs="Arial"/>
          <w:sz w:val="18"/>
          <w:szCs w:val="18"/>
        </w:rPr>
        <w:t xml:space="preserve"> </w:t>
      </w:r>
    </w:p>
    <w:p w14:paraId="09707680" w14:textId="77777777" w:rsidR="007D2150" w:rsidRPr="00812F25" w:rsidRDefault="007D2150" w:rsidP="000101BE">
      <w:pPr>
        <w:pStyle w:val="Default"/>
        <w:jc w:val="both"/>
        <w:rPr>
          <w:b/>
          <w:bCs/>
          <w:i/>
          <w:iCs/>
          <w:color w:val="auto"/>
          <w:sz w:val="18"/>
          <w:szCs w:val="18"/>
        </w:rPr>
      </w:pPr>
    </w:p>
    <w:p w14:paraId="3A7EBCFB" w14:textId="77777777" w:rsidR="007D2150" w:rsidRPr="00812F25" w:rsidRDefault="007D2150" w:rsidP="000101BE">
      <w:pPr>
        <w:pStyle w:val="Default"/>
        <w:jc w:val="both"/>
        <w:rPr>
          <w:b/>
          <w:bCs/>
          <w:iCs/>
          <w:color w:val="auto"/>
          <w:sz w:val="18"/>
          <w:szCs w:val="18"/>
        </w:rPr>
      </w:pPr>
      <w:r w:rsidRPr="00812F25">
        <w:rPr>
          <w:b/>
          <w:bCs/>
          <w:iCs/>
          <w:color w:val="auto"/>
          <w:sz w:val="18"/>
          <w:szCs w:val="18"/>
        </w:rPr>
        <w:t xml:space="preserve">A propos de Mazars </w:t>
      </w:r>
    </w:p>
    <w:p w14:paraId="2B24B0AB" w14:textId="77777777" w:rsidR="007D2150" w:rsidRPr="00812F25" w:rsidRDefault="007D2150" w:rsidP="000101BE">
      <w:pPr>
        <w:jc w:val="both"/>
        <w:rPr>
          <w:rFonts w:ascii="Arial" w:hAnsi="Arial" w:cs="Arial"/>
          <w:i/>
          <w:sz w:val="18"/>
          <w:szCs w:val="18"/>
          <w:bdr w:val="none" w:sz="0" w:space="0" w:color="auto" w:frame="1"/>
          <w:shd w:val="clear" w:color="auto" w:fill="FFFFFF"/>
        </w:rPr>
      </w:pPr>
      <w:r w:rsidRPr="00812F25">
        <w:rPr>
          <w:rFonts w:ascii="Arial" w:hAnsi="Arial" w:cs="Arial"/>
          <w:i/>
          <w:sz w:val="18"/>
          <w:szCs w:val="18"/>
          <w:bdr w:val="none" w:sz="0" w:space="0" w:color="auto" w:frame="1"/>
          <w:shd w:val="clear" w:color="auto" w:fill="FFFFFF"/>
        </w:rPr>
        <w:t>Mazars est une organisation internationale, intégrée et indépendante spécialisée dans l'audit, le conseil, ainsi que les services comptables, fiscaux et juridiques [1]. 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w:t>
      </w:r>
    </w:p>
    <w:p w14:paraId="399A4E89" w14:textId="77777777" w:rsidR="007D2150" w:rsidRPr="00812F25" w:rsidRDefault="007D2150" w:rsidP="000101BE">
      <w:pPr>
        <w:jc w:val="both"/>
        <w:rPr>
          <w:rFonts w:ascii="Arial" w:hAnsi="Arial" w:cs="Arial"/>
          <w:i/>
          <w:sz w:val="18"/>
          <w:szCs w:val="18"/>
          <w:bdr w:val="none" w:sz="0" w:space="0" w:color="auto" w:frame="1"/>
          <w:shd w:val="clear" w:color="auto" w:fill="FFFFFF"/>
        </w:rPr>
      </w:pPr>
    </w:p>
    <w:p w14:paraId="6FC3C35F" w14:textId="77777777" w:rsidR="007D2150" w:rsidRPr="00812F25" w:rsidRDefault="007D2150" w:rsidP="000101BE">
      <w:pPr>
        <w:jc w:val="both"/>
        <w:rPr>
          <w:rFonts w:ascii="Arial" w:hAnsi="Arial" w:cs="Arial"/>
          <w:i/>
          <w:sz w:val="18"/>
          <w:szCs w:val="18"/>
        </w:rPr>
      </w:pPr>
      <w:r w:rsidRPr="00812F25">
        <w:rPr>
          <w:rFonts w:ascii="Arial" w:hAnsi="Arial" w:cs="Arial"/>
          <w:i/>
          <w:sz w:val="18"/>
          <w:szCs w:val="18"/>
        </w:rPr>
        <w:t xml:space="preserve">[1] </w:t>
      </w:r>
      <w:r w:rsidRPr="00812F25">
        <w:rPr>
          <w:rFonts w:ascii="Arial" w:hAnsi="Arial" w:cs="Arial"/>
          <w:i/>
          <w:color w:val="000000"/>
          <w:sz w:val="18"/>
          <w:szCs w:val="18"/>
        </w:rPr>
        <w:t>Seulement dans les pays dans lesquels les lois en vigueur l’autorisent.</w:t>
      </w:r>
    </w:p>
    <w:p w14:paraId="442AF90A" w14:textId="77777777" w:rsidR="007D2150" w:rsidRPr="00812F25" w:rsidRDefault="007D2150" w:rsidP="000101BE">
      <w:pPr>
        <w:jc w:val="both"/>
        <w:rPr>
          <w:rStyle w:val="Lienhypertexte"/>
          <w:rFonts w:ascii="Arial" w:hAnsi="Arial" w:cs="Arial"/>
          <w:i/>
          <w:iCs/>
          <w:sz w:val="18"/>
          <w:szCs w:val="18"/>
        </w:rPr>
      </w:pPr>
    </w:p>
    <w:p w14:paraId="6F402385" w14:textId="3FA0D345" w:rsidR="00864C59" w:rsidRPr="00812F25" w:rsidRDefault="008B0D0D" w:rsidP="000101BE">
      <w:pPr>
        <w:jc w:val="both"/>
        <w:rPr>
          <w:rFonts w:ascii="Arial" w:hAnsi="Arial" w:cs="Arial"/>
          <w:b/>
          <w:i/>
          <w:color w:val="000000"/>
          <w:sz w:val="18"/>
          <w:szCs w:val="18"/>
        </w:rPr>
      </w:pPr>
      <w:hyperlink r:id="rId16" w:history="1">
        <w:r w:rsidR="007D2150" w:rsidRPr="00812F25">
          <w:rPr>
            <w:rStyle w:val="Lienhypertexte"/>
            <w:rFonts w:ascii="Arial" w:hAnsi="Arial" w:cs="Arial"/>
            <w:i/>
            <w:sz w:val="18"/>
            <w:szCs w:val="18"/>
          </w:rPr>
          <w:t>https://www.mazars.fr</w:t>
        </w:r>
      </w:hyperlink>
    </w:p>
    <w:p w14:paraId="7743F221" w14:textId="77777777" w:rsidR="00635B97" w:rsidRPr="000101BE" w:rsidRDefault="008B0D0D" w:rsidP="000101BE">
      <w:pPr>
        <w:jc w:val="both"/>
        <w:rPr>
          <w:rFonts w:ascii="Arial" w:hAnsi="Arial" w:cs="Arial"/>
          <w:sz w:val="20"/>
          <w:szCs w:val="20"/>
        </w:rPr>
      </w:pPr>
      <w:hyperlink r:id="rId17" w:history="1">
        <w:r w:rsidR="00B365BB" w:rsidRPr="00812F25">
          <w:rPr>
            <w:rStyle w:val="Lienhypertexte"/>
            <w:rFonts w:ascii="Arial" w:hAnsi="Arial" w:cs="Arial"/>
            <w:i/>
            <w:sz w:val="18"/>
            <w:szCs w:val="18"/>
          </w:rPr>
          <w:t>https://www.mazars.fr</w:t>
        </w:r>
      </w:hyperlink>
      <w:r w:rsidR="00B365BB" w:rsidRPr="000101BE">
        <w:rPr>
          <w:rFonts w:ascii="Arial" w:hAnsi="Arial" w:cs="Arial"/>
          <w:i/>
          <w:iCs/>
          <w:color w:val="000000"/>
          <w:sz w:val="20"/>
          <w:szCs w:val="20"/>
        </w:rPr>
        <w:t xml:space="preserve">- </w:t>
      </w:r>
      <w:hyperlink r:id="rId18" w:history="1">
        <w:r w:rsidR="00B365BB" w:rsidRPr="000101BE">
          <w:rPr>
            <w:rStyle w:val="Lienhypertexte"/>
            <w:rFonts w:ascii="Arial" w:hAnsi="Arial" w:cs="Arial"/>
            <w:i/>
            <w:iCs/>
            <w:sz w:val="20"/>
            <w:szCs w:val="20"/>
          </w:rPr>
          <w:t>www.linkedin.com/company/mazars</w:t>
        </w:r>
      </w:hyperlink>
      <w:r w:rsidR="00B365BB" w:rsidRPr="000101BE">
        <w:rPr>
          <w:rFonts w:ascii="Arial" w:hAnsi="Arial" w:cs="Arial"/>
          <w:i/>
          <w:iCs/>
          <w:color w:val="000000"/>
          <w:sz w:val="20"/>
          <w:szCs w:val="20"/>
        </w:rPr>
        <w:t xml:space="preserve"> - </w:t>
      </w:r>
      <w:hyperlink r:id="rId19" w:history="1">
        <w:r w:rsidR="00B365BB" w:rsidRPr="000101BE">
          <w:rPr>
            <w:rStyle w:val="Lienhypertexte"/>
            <w:rFonts w:ascii="Arial" w:hAnsi="Arial" w:cs="Arial"/>
            <w:i/>
            <w:sz w:val="20"/>
            <w:szCs w:val="20"/>
          </w:rPr>
          <w:t>https://twitter.com/mazarsfrance</w:t>
        </w:r>
      </w:hyperlink>
    </w:p>
    <w:sectPr w:rsidR="00635B97" w:rsidRPr="000101BE" w:rsidSect="0029595E">
      <w:headerReference w:type="default" r:id="rId20"/>
      <w:footerReference w:type="default" r:id="rId2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F60E" w14:textId="77777777" w:rsidR="008B0D0D" w:rsidRDefault="008B0D0D" w:rsidP="00BE7743">
      <w:r>
        <w:separator/>
      </w:r>
    </w:p>
  </w:endnote>
  <w:endnote w:type="continuationSeparator" w:id="0">
    <w:p w14:paraId="1BE67C89" w14:textId="77777777" w:rsidR="008B0D0D" w:rsidRDefault="008B0D0D" w:rsidP="00BE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DC00" w14:textId="77777777" w:rsidR="00011AA6" w:rsidRDefault="00011A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6258" w14:textId="77777777" w:rsidR="008B0D0D" w:rsidRDefault="008B0D0D" w:rsidP="00BE7743">
      <w:r>
        <w:separator/>
      </w:r>
    </w:p>
  </w:footnote>
  <w:footnote w:type="continuationSeparator" w:id="0">
    <w:p w14:paraId="4BBC840B" w14:textId="77777777" w:rsidR="008B0D0D" w:rsidRDefault="008B0D0D" w:rsidP="00BE7743">
      <w:r>
        <w:continuationSeparator/>
      </w:r>
    </w:p>
  </w:footnote>
  <w:footnote w:id="1">
    <w:p w14:paraId="52AA6C1C" w14:textId="7A8E4039" w:rsidR="001A0ACD" w:rsidRDefault="001A0ACD">
      <w:pPr>
        <w:pStyle w:val="Notedebasdepage"/>
        <w:rPr>
          <w:rFonts w:ascii="Arial" w:hAnsi="Arial" w:cs="Arial"/>
          <w:color w:val="000000" w:themeColor="text1"/>
          <w:sz w:val="11"/>
          <w:szCs w:val="11"/>
        </w:rPr>
      </w:pPr>
      <w:r w:rsidRPr="000D106D">
        <w:rPr>
          <w:rStyle w:val="Appelnotedebasdep"/>
          <w:rFonts w:ascii="Arial" w:hAnsi="Arial" w:cs="Arial"/>
          <w:color w:val="000000" w:themeColor="text1"/>
          <w:sz w:val="11"/>
          <w:szCs w:val="11"/>
        </w:rPr>
        <w:footnoteRef/>
      </w:r>
      <w:r w:rsidRPr="000D106D">
        <w:rPr>
          <w:rFonts w:ascii="Arial" w:hAnsi="Arial" w:cs="Arial"/>
          <w:color w:val="000000" w:themeColor="text1"/>
          <w:sz w:val="11"/>
          <w:szCs w:val="11"/>
        </w:rPr>
        <w:t xml:space="preserve"> L’endettement net n’étant pas un indicateur normé, nous le présentons ici tel que défini par chacun des groupes (i.e. hors retraitements), converti en euros</w:t>
      </w:r>
      <w:r w:rsidR="000D106D" w:rsidRPr="000D106D">
        <w:rPr>
          <w:rFonts w:ascii="Arial" w:hAnsi="Arial" w:cs="Arial"/>
          <w:color w:val="000000" w:themeColor="text1"/>
          <w:sz w:val="11"/>
          <w:szCs w:val="11"/>
        </w:rPr>
        <w:t>.</w:t>
      </w:r>
    </w:p>
    <w:p w14:paraId="3E42B960" w14:textId="77777777" w:rsidR="000D106D" w:rsidRPr="000D106D" w:rsidRDefault="000D106D">
      <w:pPr>
        <w:pStyle w:val="Notedebasdepage"/>
        <w:rPr>
          <w:rFonts w:ascii="Arial" w:hAnsi="Arial" w:cs="Arial"/>
          <w:color w:val="000000" w:themeColor="text1"/>
          <w:sz w:val="11"/>
          <w:szCs w:val="11"/>
        </w:rPr>
      </w:pPr>
    </w:p>
  </w:footnote>
  <w:footnote w:id="2">
    <w:p w14:paraId="6541DAE0" w14:textId="77777777" w:rsidR="000101BE" w:rsidRPr="000D106D" w:rsidRDefault="000101BE" w:rsidP="000101BE">
      <w:pPr>
        <w:jc w:val="both"/>
        <w:rPr>
          <w:rFonts w:ascii="Arial" w:hAnsi="Arial" w:cs="Arial"/>
          <w:color w:val="000000" w:themeColor="text1"/>
          <w:sz w:val="11"/>
          <w:szCs w:val="11"/>
        </w:rPr>
      </w:pPr>
      <w:r w:rsidRPr="000D106D">
        <w:rPr>
          <w:rStyle w:val="Appelnotedebasdep"/>
          <w:rFonts w:ascii="Arial" w:hAnsi="Arial" w:cs="Arial"/>
          <w:color w:val="000000" w:themeColor="text1"/>
          <w:sz w:val="11"/>
          <w:szCs w:val="11"/>
        </w:rPr>
        <w:footnoteRef/>
      </w:r>
      <w:r w:rsidRPr="000D106D">
        <w:rPr>
          <w:rFonts w:ascii="Arial" w:hAnsi="Arial" w:cs="Arial"/>
          <w:color w:val="000000" w:themeColor="text1"/>
          <w:sz w:val="11"/>
          <w:szCs w:val="11"/>
        </w:rPr>
        <w:t xml:space="preserve"> La disponibilité nette des groupes correspond à leur trésorerie et équivalents de trésorerie retraités des éventuels concours bancaires courants et soldes créditeurs de banque.</w:t>
      </w:r>
    </w:p>
    <w:p w14:paraId="4E59299F" w14:textId="2A76B5A4" w:rsidR="000101BE" w:rsidRPr="000D106D" w:rsidRDefault="000101BE">
      <w:pPr>
        <w:pStyle w:val="Notedebasdepage"/>
        <w:rPr>
          <w:rFonts w:ascii="Arial" w:hAnsi="Arial" w:cs="Arial"/>
          <w:color w:val="000000" w:themeColor="text1"/>
          <w:sz w:val="11"/>
          <w:szCs w:val="11"/>
        </w:rPr>
      </w:pPr>
    </w:p>
  </w:footnote>
  <w:footnote w:id="3">
    <w:p w14:paraId="754D3C49" w14:textId="45C6D1E1" w:rsidR="000101BE" w:rsidRPr="000D106D" w:rsidRDefault="000101BE">
      <w:pPr>
        <w:pStyle w:val="Notedebasdepage"/>
        <w:rPr>
          <w:rFonts w:ascii="Arial" w:hAnsi="Arial" w:cs="Arial"/>
          <w:color w:val="000000" w:themeColor="text1"/>
          <w:sz w:val="11"/>
          <w:szCs w:val="11"/>
        </w:rPr>
      </w:pPr>
      <w:r w:rsidRPr="000D106D">
        <w:rPr>
          <w:rStyle w:val="Appelnotedebasdep"/>
          <w:rFonts w:ascii="Arial" w:hAnsi="Arial" w:cs="Arial"/>
          <w:color w:val="000000" w:themeColor="text1"/>
          <w:sz w:val="11"/>
          <w:szCs w:val="11"/>
        </w:rPr>
        <w:footnoteRef/>
      </w:r>
      <w:r w:rsidRPr="000D106D">
        <w:rPr>
          <w:rFonts w:ascii="Arial" w:hAnsi="Arial" w:cs="Arial"/>
          <w:color w:val="000000" w:themeColor="text1"/>
          <w:sz w:val="11"/>
          <w:szCs w:val="11"/>
        </w:rPr>
        <w:t xml:space="preserve"> Trésorerie et équivalents de trésorerie tels que définit par les normes IFRS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71CA" w14:textId="77777777" w:rsidR="00011AA6" w:rsidRDefault="00011AA6">
    <w:pPr>
      <w:pStyle w:val="En-tte"/>
    </w:pPr>
    <w:r>
      <w:rPr>
        <w:noProof/>
      </w:rPr>
      <w:drawing>
        <wp:anchor distT="0" distB="0" distL="114300" distR="114300" simplePos="0" relativeHeight="251659264" behindDoc="0" locked="0" layoutInCell="1" allowOverlap="1" wp14:anchorId="4382C9E7" wp14:editId="0B887066">
          <wp:simplePos x="0" y="0"/>
          <wp:positionH relativeFrom="margin">
            <wp:posOffset>-710618</wp:posOffset>
          </wp:positionH>
          <wp:positionV relativeFrom="margin">
            <wp:posOffset>-838835</wp:posOffset>
          </wp:positionV>
          <wp:extent cx="2226945" cy="775970"/>
          <wp:effectExtent l="0" t="0" r="1905" b="508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966"/>
    <w:multiLevelType w:val="multilevel"/>
    <w:tmpl w:val="48B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11AD8"/>
    <w:multiLevelType w:val="hybridMultilevel"/>
    <w:tmpl w:val="FD124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9B0899"/>
    <w:multiLevelType w:val="hybridMultilevel"/>
    <w:tmpl w:val="9F8AE8E2"/>
    <w:lvl w:ilvl="0" w:tplc="DDE06D5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7CF44ED"/>
    <w:multiLevelType w:val="multilevel"/>
    <w:tmpl w:val="E146C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E6552"/>
    <w:multiLevelType w:val="hybridMultilevel"/>
    <w:tmpl w:val="7F102582"/>
    <w:lvl w:ilvl="0" w:tplc="852433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CF53B56"/>
    <w:multiLevelType w:val="hybridMultilevel"/>
    <w:tmpl w:val="E048B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6211CE"/>
    <w:multiLevelType w:val="hybridMultilevel"/>
    <w:tmpl w:val="07C46778"/>
    <w:lvl w:ilvl="0" w:tplc="EF948A8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646015"/>
    <w:multiLevelType w:val="hybridMultilevel"/>
    <w:tmpl w:val="E92AB122"/>
    <w:lvl w:ilvl="0" w:tplc="55CA9E5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85953E6"/>
    <w:multiLevelType w:val="hybridMultilevel"/>
    <w:tmpl w:val="E9226490"/>
    <w:lvl w:ilvl="0" w:tplc="417A5C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8B78E8"/>
    <w:multiLevelType w:val="hybridMultilevel"/>
    <w:tmpl w:val="66AC57EE"/>
    <w:lvl w:ilvl="0" w:tplc="76F637DC">
      <w:start w:val="20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231FE"/>
    <w:multiLevelType w:val="hybridMultilevel"/>
    <w:tmpl w:val="407E88F4"/>
    <w:lvl w:ilvl="0" w:tplc="3206919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FAF3535"/>
    <w:multiLevelType w:val="hybridMultilevel"/>
    <w:tmpl w:val="9024225E"/>
    <w:lvl w:ilvl="0" w:tplc="90F46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E9746B"/>
    <w:multiLevelType w:val="hybridMultilevel"/>
    <w:tmpl w:val="4D38D38C"/>
    <w:lvl w:ilvl="0" w:tplc="85AA37B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7C7C7A"/>
    <w:multiLevelType w:val="hybridMultilevel"/>
    <w:tmpl w:val="30FEF324"/>
    <w:lvl w:ilvl="0" w:tplc="27789DA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F8118F3"/>
    <w:multiLevelType w:val="hybridMultilevel"/>
    <w:tmpl w:val="C3D0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C629F"/>
    <w:multiLevelType w:val="hybridMultilevel"/>
    <w:tmpl w:val="945CFAD4"/>
    <w:lvl w:ilvl="0" w:tplc="67582D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52529"/>
    <w:multiLevelType w:val="hybridMultilevel"/>
    <w:tmpl w:val="AB2C2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172D06"/>
    <w:multiLevelType w:val="hybridMultilevel"/>
    <w:tmpl w:val="00925AA8"/>
    <w:lvl w:ilvl="0" w:tplc="1D08FB58">
      <w:start w:val="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0C0E91"/>
    <w:multiLevelType w:val="hybridMultilevel"/>
    <w:tmpl w:val="48FEC7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1DA0CCD"/>
    <w:multiLevelType w:val="multilevel"/>
    <w:tmpl w:val="92C2C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E3BF6"/>
    <w:multiLevelType w:val="hybridMultilevel"/>
    <w:tmpl w:val="0CAC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CC4FDA"/>
    <w:multiLevelType w:val="multilevel"/>
    <w:tmpl w:val="5B7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DE5484"/>
    <w:multiLevelType w:val="hybridMultilevel"/>
    <w:tmpl w:val="4CCA7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6205AF"/>
    <w:multiLevelType w:val="hybridMultilevel"/>
    <w:tmpl w:val="9EB2C298"/>
    <w:lvl w:ilvl="0" w:tplc="F2123CB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5306E4"/>
    <w:multiLevelType w:val="hybridMultilevel"/>
    <w:tmpl w:val="FC5610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C211815"/>
    <w:multiLevelType w:val="hybridMultilevel"/>
    <w:tmpl w:val="278A2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645FA8"/>
    <w:multiLevelType w:val="hybridMultilevel"/>
    <w:tmpl w:val="DE921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881631"/>
    <w:multiLevelType w:val="hybridMultilevel"/>
    <w:tmpl w:val="203ADD2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B225647"/>
    <w:multiLevelType w:val="hybridMultilevel"/>
    <w:tmpl w:val="5C2EB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F1735D"/>
    <w:multiLevelType w:val="hybridMultilevel"/>
    <w:tmpl w:val="5B20662C"/>
    <w:lvl w:ilvl="0" w:tplc="D9BEEC28">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202859"/>
    <w:multiLevelType w:val="hybridMultilevel"/>
    <w:tmpl w:val="4EE05F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D2E221D"/>
    <w:multiLevelType w:val="multilevel"/>
    <w:tmpl w:val="F11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C0586"/>
    <w:multiLevelType w:val="hybridMultilevel"/>
    <w:tmpl w:val="97A89654"/>
    <w:lvl w:ilvl="0" w:tplc="5746AE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
  </w:num>
  <w:num w:numId="4">
    <w:abstractNumId w:val="22"/>
  </w:num>
  <w:num w:numId="5">
    <w:abstractNumId w:val="30"/>
  </w:num>
  <w:num w:numId="6">
    <w:abstractNumId w:val="25"/>
  </w:num>
  <w:num w:numId="7">
    <w:abstractNumId w:val="32"/>
  </w:num>
  <w:num w:numId="8">
    <w:abstractNumId w:val="21"/>
  </w:num>
  <w:num w:numId="9">
    <w:abstractNumId w:val="31"/>
  </w:num>
  <w:num w:numId="10">
    <w:abstractNumId w:val="19"/>
  </w:num>
  <w:num w:numId="11">
    <w:abstractNumId w:val="3"/>
  </w:num>
  <w:num w:numId="12">
    <w:abstractNumId w:val="23"/>
  </w:num>
  <w:num w:numId="13">
    <w:abstractNumId w:val="4"/>
  </w:num>
  <w:num w:numId="14">
    <w:abstractNumId w:val="2"/>
  </w:num>
  <w:num w:numId="15">
    <w:abstractNumId w:val="13"/>
  </w:num>
  <w:num w:numId="16">
    <w:abstractNumId w:val="17"/>
  </w:num>
  <w:num w:numId="17">
    <w:abstractNumId w:val="0"/>
  </w:num>
  <w:num w:numId="18">
    <w:abstractNumId w:val="20"/>
  </w:num>
  <w:num w:numId="19">
    <w:abstractNumId w:val="7"/>
  </w:num>
  <w:num w:numId="20">
    <w:abstractNumId w:val="14"/>
  </w:num>
  <w:num w:numId="21">
    <w:abstractNumId w:val="15"/>
  </w:num>
  <w:num w:numId="22">
    <w:abstractNumId w:val="5"/>
  </w:num>
  <w:num w:numId="23">
    <w:abstractNumId w:val="8"/>
  </w:num>
  <w:num w:numId="24">
    <w:abstractNumId w:val="12"/>
  </w:num>
  <w:num w:numId="25">
    <w:abstractNumId w:val="9"/>
  </w:num>
  <w:num w:numId="26">
    <w:abstractNumId w:val="6"/>
  </w:num>
  <w:num w:numId="27">
    <w:abstractNumId w:val="10"/>
  </w:num>
  <w:num w:numId="28">
    <w:abstractNumId w:val="29"/>
  </w:num>
  <w:num w:numId="29">
    <w:abstractNumId w:val="28"/>
  </w:num>
  <w:num w:numId="30">
    <w:abstractNumId w:val="27"/>
  </w:num>
  <w:num w:numId="31">
    <w:abstractNumId w:val="24"/>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55"/>
    <w:rsid w:val="00000894"/>
    <w:rsid w:val="00001C6D"/>
    <w:rsid w:val="00005281"/>
    <w:rsid w:val="0000710B"/>
    <w:rsid w:val="000101BE"/>
    <w:rsid w:val="00010A80"/>
    <w:rsid w:val="00011AA6"/>
    <w:rsid w:val="00011FBB"/>
    <w:rsid w:val="000221ED"/>
    <w:rsid w:val="000226AB"/>
    <w:rsid w:val="000228F9"/>
    <w:rsid w:val="00022FCA"/>
    <w:rsid w:val="0002348E"/>
    <w:rsid w:val="0002606F"/>
    <w:rsid w:val="00032F3E"/>
    <w:rsid w:val="000330ED"/>
    <w:rsid w:val="000342A0"/>
    <w:rsid w:val="00034FF3"/>
    <w:rsid w:val="00035D76"/>
    <w:rsid w:val="00036250"/>
    <w:rsid w:val="00037AF9"/>
    <w:rsid w:val="000410FE"/>
    <w:rsid w:val="000432A4"/>
    <w:rsid w:val="0004476E"/>
    <w:rsid w:val="000449C2"/>
    <w:rsid w:val="0004504D"/>
    <w:rsid w:val="000456ED"/>
    <w:rsid w:val="000464EF"/>
    <w:rsid w:val="000501E1"/>
    <w:rsid w:val="00050578"/>
    <w:rsid w:val="00050DAD"/>
    <w:rsid w:val="00050E9A"/>
    <w:rsid w:val="00051546"/>
    <w:rsid w:val="00056F0E"/>
    <w:rsid w:val="00060178"/>
    <w:rsid w:val="000628A5"/>
    <w:rsid w:val="00071EB3"/>
    <w:rsid w:val="00073B21"/>
    <w:rsid w:val="00075074"/>
    <w:rsid w:val="000769B2"/>
    <w:rsid w:val="00077BA8"/>
    <w:rsid w:val="00080A4E"/>
    <w:rsid w:val="000832C5"/>
    <w:rsid w:val="00083337"/>
    <w:rsid w:val="000904FB"/>
    <w:rsid w:val="00092A39"/>
    <w:rsid w:val="000942FB"/>
    <w:rsid w:val="0009474E"/>
    <w:rsid w:val="00096132"/>
    <w:rsid w:val="00097F80"/>
    <w:rsid w:val="000A0BA2"/>
    <w:rsid w:val="000A17DC"/>
    <w:rsid w:val="000A20EE"/>
    <w:rsid w:val="000A2432"/>
    <w:rsid w:val="000A65B0"/>
    <w:rsid w:val="000A728D"/>
    <w:rsid w:val="000A7413"/>
    <w:rsid w:val="000B1D0E"/>
    <w:rsid w:val="000B2308"/>
    <w:rsid w:val="000B5C87"/>
    <w:rsid w:val="000C6237"/>
    <w:rsid w:val="000C6A61"/>
    <w:rsid w:val="000D106D"/>
    <w:rsid w:val="000D3809"/>
    <w:rsid w:val="000D3A19"/>
    <w:rsid w:val="000E0363"/>
    <w:rsid w:val="000E09B6"/>
    <w:rsid w:val="000E2F79"/>
    <w:rsid w:val="000E5588"/>
    <w:rsid w:val="000E738F"/>
    <w:rsid w:val="000F00E9"/>
    <w:rsid w:val="000F36C4"/>
    <w:rsid w:val="000F3952"/>
    <w:rsid w:val="0010256B"/>
    <w:rsid w:val="00104038"/>
    <w:rsid w:val="001102C4"/>
    <w:rsid w:val="00111B01"/>
    <w:rsid w:val="00111DDF"/>
    <w:rsid w:val="00113B45"/>
    <w:rsid w:val="001156A0"/>
    <w:rsid w:val="00122299"/>
    <w:rsid w:val="001238A2"/>
    <w:rsid w:val="0012589B"/>
    <w:rsid w:val="00125B43"/>
    <w:rsid w:val="00127E2E"/>
    <w:rsid w:val="0013371D"/>
    <w:rsid w:val="0013377A"/>
    <w:rsid w:val="0013430C"/>
    <w:rsid w:val="00135781"/>
    <w:rsid w:val="001362B7"/>
    <w:rsid w:val="00136443"/>
    <w:rsid w:val="001408EE"/>
    <w:rsid w:val="00141656"/>
    <w:rsid w:val="00141CA7"/>
    <w:rsid w:val="00143926"/>
    <w:rsid w:val="001456FD"/>
    <w:rsid w:val="00147AD5"/>
    <w:rsid w:val="00147FD7"/>
    <w:rsid w:val="001502D7"/>
    <w:rsid w:val="00152A61"/>
    <w:rsid w:val="00152EAF"/>
    <w:rsid w:val="001540DF"/>
    <w:rsid w:val="001608B3"/>
    <w:rsid w:val="00160B06"/>
    <w:rsid w:val="0016281F"/>
    <w:rsid w:val="0016445B"/>
    <w:rsid w:val="0016589A"/>
    <w:rsid w:val="00170CFC"/>
    <w:rsid w:val="001726DB"/>
    <w:rsid w:val="001734D0"/>
    <w:rsid w:val="00176CAB"/>
    <w:rsid w:val="00176ED7"/>
    <w:rsid w:val="00177442"/>
    <w:rsid w:val="001801EB"/>
    <w:rsid w:val="001806E1"/>
    <w:rsid w:val="00180D65"/>
    <w:rsid w:val="00180EC8"/>
    <w:rsid w:val="00182831"/>
    <w:rsid w:val="00183606"/>
    <w:rsid w:val="00184554"/>
    <w:rsid w:val="001858BB"/>
    <w:rsid w:val="00187250"/>
    <w:rsid w:val="0018749C"/>
    <w:rsid w:val="0018763E"/>
    <w:rsid w:val="001914E6"/>
    <w:rsid w:val="00192AB8"/>
    <w:rsid w:val="0019392D"/>
    <w:rsid w:val="00193BB8"/>
    <w:rsid w:val="00194301"/>
    <w:rsid w:val="00194CC9"/>
    <w:rsid w:val="00194DE2"/>
    <w:rsid w:val="001A0ACD"/>
    <w:rsid w:val="001A1801"/>
    <w:rsid w:val="001A4EB0"/>
    <w:rsid w:val="001A558C"/>
    <w:rsid w:val="001A5A56"/>
    <w:rsid w:val="001B0182"/>
    <w:rsid w:val="001B1DF8"/>
    <w:rsid w:val="001B4D35"/>
    <w:rsid w:val="001B5D82"/>
    <w:rsid w:val="001B6C11"/>
    <w:rsid w:val="001B76FF"/>
    <w:rsid w:val="001B797D"/>
    <w:rsid w:val="001C1BD8"/>
    <w:rsid w:val="001C6B0A"/>
    <w:rsid w:val="001C75CB"/>
    <w:rsid w:val="001D1035"/>
    <w:rsid w:val="001D2830"/>
    <w:rsid w:val="001D39FC"/>
    <w:rsid w:val="001D59AA"/>
    <w:rsid w:val="001D74F2"/>
    <w:rsid w:val="001E03C9"/>
    <w:rsid w:val="001E164E"/>
    <w:rsid w:val="001E33CB"/>
    <w:rsid w:val="001E433B"/>
    <w:rsid w:val="001E68AD"/>
    <w:rsid w:val="001F7391"/>
    <w:rsid w:val="001F7D60"/>
    <w:rsid w:val="00200E4F"/>
    <w:rsid w:val="00201080"/>
    <w:rsid w:val="00201BE9"/>
    <w:rsid w:val="00204769"/>
    <w:rsid w:val="00205132"/>
    <w:rsid w:val="00206934"/>
    <w:rsid w:val="00206BFF"/>
    <w:rsid w:val="00212587"/>
    <w:rsid w:val="00213608"/>
    <w:rsid w:val="002138DE"/>
    <w:rsid w:val="00215E6B"/>
    <w:rsid w:val="0021658B"/>
    <w:rsid w:val="00216672"/>
    <w:rsid w:val="002179C1"/>
    <w:rsid w:val="00221B35"/>
    <w:rsid w:val="00223D3B"/>
    <w:rsid w:val="002256E2"/>
    <w:rsid w:val="002256F5"/>
    <w:rsid w:val="002257FE"/>
    <w:rsid w:val="002305F0"/>
    <w:rsid w:val="0023401C"/>
    <w:rsid w:val="00234112"/>
    <w:rsid w:val="0023470C"/>
    <w:rsid w:val="002355FE"/>
    <w:rsid w:val="0023576C"/>
    <w:rsid w:val="00243198"/>
    <w:rsid w:val="0024513F"/>
    <w:rsid w:val="00246E5E"/>
    <w:rsid w:val="002502DB"/>
    <w:rsid w:val="00250CB1"/>
    <w:rsid w:val="0025289A"/>
    <w:rsid w:val="00253F85"/>
    <w:rsid w:val="00253FDD"/>
    <w:rsid w:val="0025452C"/>
    <w:rsid w:val="00261B71"/>
    <w:rsid w:val="00262165"/>
    <w:rsid w:val="00262C63"/>
    <w:rsid w:val="002630B9"/>
    <w:rsid w:val="00264BF2"/>
    <w:rsid w:val="00265A99"/>
    <w:rsid w:val="00270BF8"/>
    <w:rsid w:val="002715DD"/>
    <w:rsid w:val="00271C4A"/>
    <w:rsid w:val="002743C2"/>
    <w:rsid w:val="00275358"/>
    <w:rsid w:val="0027576C"/>
    <w:rsid w:val="00280356"/>
    <w:rsid w:val="00282CF1"/>
    <w:rsid w:val="00283570"/>
    <w:rsid w:val="002839BB"/>
    <w:rsid w:val="0028590F"/>
    <w:rsid w:val="00286A10"/>
    <w:rsid w:val="00286F91"/>
    <w:rsid w:val="002871F2"/>
    <w:rsid w:val="00290B5F"/>
    <w:rsid w:val="002920C7"/>
    <w:rsid w:val="00294B79"/>
    <w:rsid w:val="0029595E"/>
    <w:rsid w:val="00297838"/>
    <w:rsid w:val="002A55D0"/>
    <w:rsid w:val="002A5D15"/>
    <w:rsid w:val="002A7488"/>
    <w:rsid w:val="002B3200"/>
    <w:rsid w:val="002B3E98"/>
    <w:rsid w:val="002B5227"/>
    <w:rsid w:val="002B5A18"/>
    <w:rsid w:val="002C4B33"/>
    <w:rsid w:val="002C675A"/>
    <w:rsid w:val="002C70BD"/>
    <w:rsid w:val="002C780F"/>
    <w:rsid w:val="002D0C8B"/>
    <w:rsid w:val="002D12C9"/>
    <w:rsid w:val="002D2E97"/>
    <w:rsid w:val="002D7A69"/>
    <w:rsid w:val="002D7B96"/>
    <w:rsid w:val="002E1EB5"/>
    <w:rsid w:val="002E27C4"/>
    <w:rsid w:val="002E2BCA"/>
    <w:rsid w:val="002E3491"/>
    <w:rsid w:val="002E41F8"/>
    <w:rsid w:val="002E501D"/>
    <w:rsid w:val="002E6849"/>
    <w:rsid w:val="002E6BB2"/>
    <w:rsid w:val="002E72E1"/>
    <w:rsid w:val="002F0610"/>
    <w:rsid w:val="002F35C3"/>
    <w:rsid w:val="002F3E7E"/>
    <w:rsid w:val="002F459E"/>
    <w:rsid w:val="002F5307"/>
    <w:rsid w:val="002F572C"/>
    <w:rsid w:val="003011D1"/>
    <w:rsid w:val="003022AC"/>
    <w:rsid w:val="0030386E"/>
    <w:rsid w:val="0030558F"/>
    <w:rsid w:val="00310E6A"/>
    <w:rsid w:val="003115A2"/>
    <w:rsid w:val="00312E31"/>
    <w:rsid w:val="00312F60"/>
    <w:rsid w:val="00315EDD"/>
    <w:rsid w:val="0032026B"/>
    <w:rsid w:val="00320313"/>
    <w:rsid w:val="00323D04"/>
    <w:rsid w:val="00331079"/>
    <w:rsid w:val="00331130"/>
    <w:rsid w:val="0033189C"/>
    <w:rsid w:val="00331BD1"/>
    <w:rsid w:val="003360B0"/>
    <w:rsid w:val="00336604"/>
    <w:rsid w:val="0033770F"/>
    <w:rsid w:val="00343B8D"/>
    <w:rsid w:val="00343E1E"/>
    <w:rsid w:val="003445A2"/>
    <w:rsid w:val="00344A55"/>
    <w:rsid w:val="00344B9F"/>
    <w:rsid w:val="00344DD1"/>
    <w:rsid w:val="00350378"/>
    <w:rsid w:val="0035193C"/>
    <w:rsid w:val="00351D7F"/>
    <w:rsid w:val="00354920"/>
    <w:rsid w:val="00355C91"/>
    <w:rsid w:val="00361D32"/>
    <w:rsid w:val="00363762"/>
    <w:rsid w:val="00363C04"/>
    <w:rsid w:val="00366391"/>
    <w:rsid w:val="003709D8"/>
    <w:rsid w:val="00370C3A"/>
    <w:rsid w:val="00372B34"/>
    <w:rsid w:val="0037304F"/>
    <w:rsid w:val="00374A3B"/>
    <w:rsid w:val="0037542D"/>
    <w:rsid w:val="0037629C"/>
    <w:rsid w:val="00384575"/>
    <w:rsid w:val="00386C6A"/>
    <w:rsid w:val="003920FA"/>
    <w:rsid w:val="00392B0F"/>
    <w:rsid w:val="003952B8"/>
    <w:rsid w:val="00397046"/>
    <w:rsid w:val="003970B1"/>
    <w:rsid w:val="0039732C"/>
    <w:rsid w:val="003A0271"/>
    <w:rsid w:val="003A4EA9"/>
    <w:rsid w:val="003A5586"/>
    <w:rsid w:val="003A69CB"/>
    <w:rsid w:val="003A7795"/>
    <w:rsid w:val="003A79F1"/>
    <w:rsid w:val="003B3D63"/>
    <w:rsid w:val="003B4C41"/>
    <w:rsid w:val="003B51D0"/>
    <w:rsid w:val="003B52AA"/>
    <w:rsid w:val="003B58DD"/>
    <w:rsid w:val="003C3249"/>
    <w:rsid w:val="003C3394"/>
    <w:rsid w:val="003C3CD0"/>
    <w:rsid w:val="003C3FDE"/>
    <w:rsid w:val="003C6A7E"/>
    <w:rsid w:val="003C7336"/>
    <w:rsid w:val="003D581C"/>
    <w:rsid w:val="003E22BA"/>
    <w:rsid w:val="003E2771"/>
    <w:rsid w:val="003E54B0"/>
    <w:rsid w:val="003E64E2"/>
    <w:rsid w:val="003F0A09"/>
    <w:rsid w:val="003F2185"/>
    <w:rsid w:val="003F466B"/>
    <w:rsid w:val="003F778A"/>
    <w:rsid w:val="003F7FA8"/>
    <w:rsid w:val="00402C31"/>
    <w:rsid w:val="004030D8"/>
    <w:rsid w:val="00406A12"/>
    <w:rsid w:val="00407DDA"/>
    <w:rsid w:val="00415AF4"/>
    <w:rsid w:val="00417230"/>
    <w:rsid w:val="0042537B"/>
    <w:rsid w:val="004278DD"/>
    <w:rsid w:val="00431267"/>
    <w:rsid w:val="00433F28"/>
    <w:rsid w:val="004347ED"/>
    <w:rsid w:val="00435464"/>
    <w:rsid w:val="004366BB"/>
    <w:rsid w:val="00441E4E"/>
    <w:rsid w:val="00444CCF"/>
    <w:rsid w:val="004454B7"/>
    <w:rsid w:val="004456CB"/>
    <w:rsid w:val="0044699A"/>
    <w:rsid w:val="00450D73"/>
    <w:rsid w:val="00452EF5"/>
    <w:rsid w:val="00453CD8"/>
    <w:rsid w:val="0045455B"/>
    <w:rsid w:val="004549E0"/>
    <w:rsid w:val="0045598E"/>
    <w:rsid w:val="00470A67"/>
    <w:rsid w:val="00472045"/>
    <w:rsid w:val="00472102"/>
    <w:rsid w:val="00472350"/>
    <w:rsid w:val="00473AB8"/>
    <w:rsid w:val="00473ECC"/>
    <w:rsid w:val="00474E00"/>
    <w:rsid w:val="00476C1C"/>
    <w:rsid w:val="00482C18"/>
    <w:rsid w:val="0048532A"/>
    <w:rsid w:val="00485654"/>
    <w:rsid w:val="0048616C"/>
    <w:rsid w:val="004921B7"/>
    <w:rsid w:val="004950AF"/>
    <w:rsid w:val="00496763"/>
    <w:rsid w:val="004977DC"/>
    <w:rsid w:val="004A1CFE"/>
    <w:rsid w:val="004A1D8A"/>
    <w:rsid w:val="004A2872"/>
    <w:rsid w:val="004A42D6"/>
    <w:rsid w:val="004A45E7"/>
    <w:rsid w:val="004A62D9"/>
    <w:rsid w:val="004B10D7"/>
    <w:rsid w:val="004B3E7C"/>
    <w:rsid w:val="004B52ED"/>
    <w:rsid w:val="004B64F3"/>
    <w:rsid w:val="004C0008"/>
    <w:rsid w:val="004C00A8"/>
    <w:rsid w:val="004C189A"/>
    <w:rsid w:val="004C56EF"/>
    <w:rsid w:val="004C7234"/>
    <w:rsid w:val="004C77D4"/>
    <w:rsid w:val="004C7D7F"/>
    <w:rsid w:val="004C7F7B"/>
    <w:rsid w:val="004D0715"/>
    <w:rsid w:val="004D1365"/>
    <w:rsid w:val="004D3576"/>
    <w:rsid w:val="004D43E6"/>
    <w:rsid w:val="004D57F2"/>
    <w:rsid w:val="004D6966"/>
    <w:rsid w:val="004D7060"/>
    <w:rsid w:val="004D7353"/>
    <w:rsid w:val="004D7AEA"/>
    <w:rsid w:val="004E46E1"/>
    <w:rsid w:val="004F37FE"/>
    <w:rsid w:val="004F74EC"/>
    <w:rsid w:val="005017E0"/>
    <w:rsid w:val="00502722"/>
    <w:rsid w:val="0050434C"/>
    <w:rsid w:val="005076FE"/>
    <w:rsid w:val="005126E4"/>
    <w:rsid w:val="00514EDD"/>
    <w:rsid w:val="00520FBA"/>
    <w:rsid w:val="00523A2A"/>
    <w:rsid w:val="00524A73"/>
    <w:rsid w:val="00525DEE"/>
    <w:rsid w:val="00533C85"/>
    <w:rsid w:val="00534BE9"/>
    <w:rsid w:val="005352A1"/>
    <w:rsid w:val="0053589B"/>
    <w:rsid w:val="00535B2C"/>
    <w:rsid w:val="00536288"/>
    <w:rsid w:val="0054220C"/>
    <w:rsid w:val="00542CAB"/>
    <w:rsid w:val="00550269"/>
    <w:rsid w:val="00550DF4"/>
    <w:rsid w:val="00551675"/>
    <w:rsid w:val="005529E6"/>
    <w:rsid w:val="005536E4"/>
    <w:rsid w:val="005544D2"/>
    <w:rsid w:val="00556B3B"/>
    <w:rsid w:val="00557E6C"/>
    <w:rsid w:val="005601B1"/>
    <w:rsid w:val="00560D40"/>
    <w:rsid w:val="0056211A"/>
    <w:rsid w:val="005628FC"/>
    <w:rsid w:val="00563994"/>
    <w:rsid w:val="0056594B"/>
    <w:rsid w:val="005659FE"/>
    <w:rsid w:val="00566B1E"/>
    <w:rsid w:val="005718AE"/>
    <w:rsid w:val="005744A3"/>
    <w:rsid w:val="0057746F"/>
    <w:rsid w:val="0058539F"/>
    <w:rsid w:val="0058789B"/>
    <w:rsid w:val="0059007C"/>
    <w:rsid w:val="0059111D"/>
    <w:rsid w:val="00592BEB"/>
    <w:rsid w:val="00592E94"/>
    <w:rsid w:val="005A2BC6"/>
    <w:rsid w:val="005B0183"/>
    <w:rsid w:val="005B1C48"/>
    <w:rsid w:val="005B4C10"/>
    <w:rsid w:val="005B50E9"/>
    <w:rsid w:val="005B6D9C"/>
    <w:rsid w:val="005D122C"/>
    <w:rsid w:val="005D13A3"/>
    <w:rsid w:val="005D2A20"/>
    <w:rsid w:val="005D3B50"/>
    <w:rsid w:val="005D50ED"/>
    <w:rsid w:val="005D519C"/>
    <w:rsid w:val="005D5481"/>
    <w:rsid w:val="005D66E9"/>
    <w:rsid w:val="005E02EF"/>
    <w:rsid w:val="005E4524"/>
    <w:rsid w:val="005E5528"/>
    <w:rsid w:val="005E558E"/>
    <w:rsid w:val="005E5B0D"/>
    <w:rsid w:val="005F0EA7"/>
    <w:rsid w:val="005F1775"/>
    <w:rsid w:val="005F2C9F"/>
    <w:rsid w:val="005F3371"/>
    <w:rsid w:val="005F48E0"/>
    <w:rsid w:val="005F4F9E"/>
    <w:rsid w:val="00601842"/>
    <w:rsid w:val="00601943"/>
    <w:rsid w:val="00601D01"/>
    <w:rsid w:val="0060306C"/>
    <w:rsid w:val="00603238"/>
    <w:rsid w:val="00606F79"/>
    <w:rsid w:val="006105C8"/>
    <w:rsid w:val="0061289C"/>
    <w:rsid w:val="006130F4"/>
    <w:rsid w:val="00613328"/>
    <w:rsid w:val="00613AC5"/>
    <w:rsid w:val="00615C5F"/>
    <w:rsid w:val="00615CCB"/>
    <w:rsid w:val="0061761A"/>
    <w:rsid w:val="00622B48"/>
    <w:rsid w:val="00625471"/>
    <w:rsid w:val="00625539"/>
    <w:rsid w:val="00625BCE"/>
    <w:rsid w:val="006260AC"/>
    <w:rsid w:val="006271CA"/>
    <w:rsid w:val="00630468"/>
    <w:rsid w:val="00631EE4"/>
    <w:rsid w:val="00632652"/>
    <w:rsid w:val="00632DC6"/>
    <w:rsid w:val="00632E25"/>
    <w:rsid w:val="00635B97"/>
    <w:rsid w:val="00636435"/>
    <w:rsid w:val="006364C1"/>
    <w:rsid w:val="00636708"/>
    <w:rsid w:val="00636FC8"/>
    <w:rsid w:val="00640595"/>
    <w:rsid w:val="00646804"/>
    <w:rsid w:val="00652082"/>
    <w:rsid w:val="00653462"/>
    <w:rsid w:val="00660481"/>
    <w:rsid w:val="006612D7"/>
    <w:rsid w:val="00663AA4"/>
    <w:rsid w:val="006646FD"/>
    <w:rsid w:val="00664832"/>
    <w:rsid w:val="006669EA"/>
    <w:rsid w:val="00667F70"/>
    <w:rsid w:val="00671DDF"/>
    <w:rsid w:val="00674CF5"/>
    <w:rsid w:val="00677640"/>
    <w:rsid w:val="006823CC"/>
    <w:rsid w:val="0068327B"/>
    <w:rsid w:val="00687D81"/>
    <w:rsid w:val="006923A5"/>
    <w:rsid w:val="00692421"/>
    <w:rsid w:val="00693BCE"/>
    <w:rsid w:val="006953BD"/>
    <w:rsid w:val="006A2C25"/>
    <w:rsid w:val="006A56EF"/>
    <w:rsid w:val="006B0AE1"/>
    <w:rsid w:val="006B47B5"/>
    <w:rsid w:val="006C63A9"/>
    <w:rsid w:val="006C6D92"/>
    <w:rsid w:val="006D103B"/>
    <w:rsid w:val="006D4C14"/>
    <w:rsid w:val="006D732C"/>
    <w:rsid w:val="006E0F35"/>
    <w:rsid w:val="006E2190"/>
    <w:rsid w:val="006E56FF"/>
    <w:rsid w:val="006E6EDB"/>
    <w:rsid w:val="006E7A6B"/>
    <w:rsid w:val="006F177E"/>
    <w:rsid w:val="006F44E2"/>
    <w:rsid w:val="006F5DE8"/>
    <w:rsid w:val="006F632C"/>
    <w:rsid w:val="006F7DFA"/>
    <w:rsid w:val="007006A5"/>
    <w:rsid w:val="00700818"/>
    <w:rsid w:val="00701A4F"/>
    <w:rsid w:val="00703E0A"/>
    <w:rsid w:val="0071271D"/>
    <w:rsid w:val="00713A82"/>
    <w:rsid w:val="0072156C"/>
    <w:rsid w:val="007259B9"/>
    <w:rsid w:val="0073185E"/>
    <w:rsid w:val="00740F3A"/>
    <w:rsid w:val="007429BC"/>
    <w:rsid w:val="00743502"/>
    <w:rsid w:val="00746E11"/>
    <w:rsid w:val="007504D0"/>
    <w:rsid w:val="00750945"/>
    <w:rsid w:val="00751681"/>
    <w:rsid w:val="007539E8"/>
    <w:rsid w:val="007551E3"/>
    <w:rsid w:val="00755C8D"/>
    <w:rsid w:val="00760004"/>
    <w:rsid w:val="007603E7"/>
    <w:rsid w:val="00764956"/>
    <w:rsid w:val="00770B8D"/>
    <w:rsid w:val="00771203"/>
    <w:rsid w:val="00776607"/>
    <w:rsid w:val="0078163D"/>
    <w:rsid w:val="00782290"/>
    <w:rsid w:val="00782375"/>
    <w:rsid w:val="00782486"/>
    <w:rsid w:val="00782CC4"/>
    <w:rsid w:val="00782DCB"/>
    <w:rsid w:val="0078301D"/>
    <w:rsid w:val="007838A7"/>
    <w:rsid w:val="007853EC"/>
    <w:rsid w:val="0079399D"/>
    <w:rsid w:val="007A0D19"/>
    <w:rsid w:val="007A76EF"/>
    <w:rsid w:val="007B5457"/>
    <w:rsid w:val="007B57E7"/>
    <w:rsid w:val="007B6AC8"/>
    <w:rsid w:val="007B7922"/>
    <w:rsid w:val="007C09F8"/>
    <w:rsid w:val="007C23BD"/>
    <w:rsid w:val="007C7A34"/>
    <w:rsid w:val="007D03C0"/>
    <w:rsid w:val="007D0A14"/>
    <w:rsid w:val="007D2150"/>
    <w:rsid w:val="007D31EA"/>
    <w:rsid w:val="007D3F2F"/>
    <w:rsid w:val="007D3F78"/>
    <w:rsid w:val="007D4191"/>
    <w:rsid w:val="007D4353"/>
    <w:rsid w:val="007D4F82"/>
    <w:rsid w:val="007D71B7"/>
    <w:rsid w:val="007E10ED"/>
    <w:rsid w:val="007E31A4"/>
    <w:rsid w:val="007E3728"/>
    <w:rsid w:val="007E5DDF"/>
    <w:rsid w:val="007F1545"/>
    <w:rsid w:val="007F2194"/>
    <w:rsid w:val="007F440A"/>
    <w:rsid w:val="007F484A"/>
    <w:rsid w:val="00805281"/>
    <w:rsid w:val="00805C4B"/>
    <w:rsid w:val="008062DB"/>
    <w:rsid w:val="00806803"/>
    <w:rsid w:val="008075AB"/>
    <w:rsid w:val="00807D5E"/>
    <w:rsid w:val="00812F25"/>
    <w:rsid w:val="00813DF0"/>
    <w:rsid w:val="00816950"/>
    <w:rsid w:val="00816E05"/>
    <w:rsid w:val="00823A75"/>
    <w:rsid w:val="00824902"/>
    <w:rsid w:val="0083182D"/>
    <w:rsid w:val="00831F97"/>
    <w:rsid w:val="0083285E"/>
    <w:rsid w:val="0083496D"/>
    <w:rsid w:val="008362E6"/>
    <w:rsid w:val="0084167C"/>
    <w:rsid w:val="00842A61"/>
    <w:rsid w:val="00842A8B"/>
    <w:rsid w:val="00847ED3"/>
    <w:rsid w:val="0085158C"/>
    <w:rsid w:val="00854C64"/>
    <w:rsid w:val="00856D41"/>
    <w:rsid w:val="00857C28"/>
    <w:rsid w:val="0086065F"/>
    <w:rsid w:val="00862D98"/>
    <w:rsid w:val="00863128"/>
    <w:rsid w:val="00863A1E"/>
    <w:rsid w:val="00864759"/>
    <w:rsid w:val="00864C59"/>
    <w:rsid w:val="00865C90"/>
    <w:rsid w:val="008663BD"/>
    <w:rsid w:val="0086661F"/>
    <w:rsid w:val="00866BDC"/>
    <w:rsid w:val="00873251"/>
    <w:rsid w:val="008738A3"/>
    <w:rsid w:val="00874585"/>
    <w:rsid w:val="00876224"/>
    <w:rsid w:val="00884B7F"/>
    <w:rsid w:val="00885101"/>
    <w:rsid w:val="008918B9"/>
    <w:rsid w:val="0089466D"/>
    <w:rsid w:val="00897D44"/>
    <w:rsid w:val="008A1A1A"/>
    <w:rsid w:val="008A43AA"/>
    <w:rsid w:val="008A4A05"/>
    <w:rsid w:val="008A5AC0"/>
    <w:rsid w:val="008B0D0D"/>
    <w:rsid w:val="008B1F98"/>
    <w:rsid w:val="008B474C"/>
    <w:rsid w:val="008B5D4A"/>
    <w:rsid w:val="008B6DA4"/>
    <w:rsid w:val="008C041A"/>
    <w:rsid w:val="008C1733"/>
    <w:rsid w:val="008C1A90"/>
    <w:rsid w:val="008C1D60"/>
    <w:rsid w:val="008C419C"/>
    <w:rsid w:val="008C525F"/>
    <w:rsid w:val="008C747D"/>
    <w:rsid w:val="008D21B2"/>
    <w:rsid w:val="008D306A"/>
    <w:rsid w:val="008D3C4E"/>
    <w:rsid w:val="008E04D5"/>
    <w:rsid w:val="008E1D87"/>
    <w:rsid w:val="008E3A68"/>
    <w:rsid w:val="008E4C19"/>
    <w:rsid w:val="008E6C9E"/>
    <w:rsid w:val="008F09BB"/>
    <w:rsid w:val="008F0A13"/>
    <w:rsid w:val="008F6735"/>
    <w:rsid w:val="008F72F8"/>
    <w:rsid w:val="009040E1"/>
    <w:rsid w:val="009046CE"/>
    <w:rsid w:val="00907872"/>
    <w:rsid w:val="009108D3"/>
    <w:rsid w:val="00912EEC"/>
    <w:rsid w:val="0091342F"/>
    <w:rsid w:val="0091571E"/>
    <w:rsid w:val="009166B3"/>
    <w:rsid w:val="009217C2"/>
    <w:rsid w:val="0092424F"/>
    <w:rsid w:val="00925879"/>
    <w:rsid w:val="00927C50"/>
    <w:rsid w:val="0093228F"/>
    <w:rsid w:val="00933495"/>
    <w:rsid w:val="00933C2E"/>
    <w:rsid w:val="00934DA9"/>
    <w:rsid w:val="00937DF2"/>
    <w:rsid w:val="0094047F"/>
    <w:rsid w:val="00940F0D"/>
    <w:rsid w:val="009451B3"/>
    <w:rsid w:val="00945EAD"/>
    <w:rsid w:val="009500A0"/>
    <w:rsid w:val="00957894"/>
    <w:rsid w:val="00957A0A"/>
    <w:rsid w:val="00967E2F"/>
    <w:rsid w:val="00970355"/>
    <w:rsid w:val="00970780"/>
    <w:rsid w:val="00970E85"/>
    <w:rsid w:val="00971C96"/>
    <w:rsid w:val="009721D9"/>
    <w:rsid w:val="009734B2"/>
    <w:rsid w:val="00973D8E"/>
    <w:rsid w:val="00974261"/>
    <w:rsid w:val="00974E09"/>
    <w:rsid w:val="009752C8"/>
    <w:rsid w:val="00977D36"/>
    <w:rsid w:val="0098221D"/>
    <w:rsid w:val="00987699"/>
    <w:rsid w:val="00987CA6"/>
    <w:rsid w:val="00992384"/>
    <w:rsid w:val="00996CAA"/>
    <w:rsid w:val="009A02EA"/>
    <w:rsid w:val="009A18BB"/>
    <w:rsid w:val="009A27B9"/>
    <w:rsid w:val="009A36AD"/>
    <w:rsid w:val="009A4595"/>
    <w:rsid w:val="009A4A3E"/>
    <w:rsid w:val="009A582C"/>
    <w:rsid w:val="009B1C17"/>
    <w:rsid w:val="009B2C9F"/>
    <w:rsid w:val="009B455B"/>
    <w:rsid w:val="009B5A43"/>
    <w:rsid w:val="009C0D31"/>
    <w:rsid w:val="009C46CA"/>
    <w:rsid w:val="009C5AA5"/>
    <w:rsid w:val="009C7D50"/>
    <w:rsid w:val="009D2F17"/>
    <w:rsid w:val="009D351E"/>
    <w:rsid w:val="009D441B"/>
    <w:rsid w:val="009D4820"/>
    <w:rsid w:val="009D57A9"/>
    <w:rsid w:val="009D707E"/>
    <w:rsid w:val="009E0068"/>
    <w:rsid w:val="009E28FB"/>
    <w:rsid w:val="009E2CF8"/>
    <w:rsid w:val="009E2F3D"/>
    <w:rsid w:val="009E4DD3"/>
    <w:rsid w:val="009E5593"/>
    <w:rsid w:val="009E5CAF"/>
    <w:rsid w:val="009F1818"/>
    <w:rsid w:val="009F49FF"/>
    <w:rsid w:val="009F62AC"/>
    <w:rsid w:val="009F6C9A"/>
    <w:rsid w:val="00A042D2"/>
    <w:rsid w:val="00A04E98"/>
    <w:rsid w:val="00A06192"/>
    <w:rsid w:val="00A062EA"/>
    <w:rsid w:val="00A13CA5"/>
    <w:rsid w:val="00A15BEF"/>
    <w:rsid w:val="00A1797D"/>
    <w:rsid w:val="00A17EEC"/>
    <w:rsid w:val="00A222B4"/>
    <w:rsid w:val="00A2279E"/>
    <w:rsid w:val="00A22B70"/>
    <w:rsid w:val="00A26B53"/>
    <w:rsid w:val="00A27A2C"/>
    <w:rsid w:val="00A314E3"/>
    <w:rsid w:val="00A3154B"/>
    <w:rsid w:val="00A35F22"/>
    <w:rsid w:val="00A368B5"/>
    <w:rsid w:val="00A41FBF"/>
    <w:rsid w:val="00A42305"/>
    <w:rsid w:val="00A453ED"/>
    <w:rsid w:val="00A454F6"/>
    <w:rsid w:val="00A511B0"/>
    <w:rsid w:val="00A52D57"/>
    <w:rsid w:val="00A53977"/>
    <w:rsid w:val="00A55D08"/>
    <w:rsid w:val="00A5659F"/>
    <w:rsid w:val="00A6273F"/>
    <w:rsid w:val="00A62BC3"/>
    <w:rsid w:val="00A631EC"/>
    <w:rsid w:val="00A63FF1"/>
    <w:rsid w:val="00A64923"/>
    <w:rsid w:val="00A64AFC"/>
    <w:rsid w:val="00A7117C"/>
    <w:rsid w:val="00A71940"/>
    <w:rsid w:val="00A719C2"/>
    <w:rsid w:val="00A71D2F"/>
    <w:rsid w:val="00A72076"/>
    <w:rsid w:val="00A73121"/>
    <w:rsid w:val="00A73C25"/>
    <w:rsid w:val="00A746F9"/>
    <w:rsid w:val="00A7687F"/>
    <w:rsid w:val="00A7700E"/>
    <w:rsid w:val="00A85C2F"/>
    <w:rsid w:val="00A86A50"/>
    <w:rsid w:val="00A87AC4"/>
    <w:rsid w:val="00A900EB"/>
    <w:rsid w:val="00A91784"/>
    <w:rsid w:val="00A92EFD"/>
    <w:rsid w:val="00A95730"/>
    <w:rsid w:val="00AA02B1"/>
    <w:rsid w:val="00AA06ED"/>
    <w:rsid w:val="00AA23F9"/>
    <w:rsid w:val="00AA36A5"/>
    <w:rsid w:val="00AA4C44"/>
    <w:rsid w:val="00AA7278"/>
    <w:rsid w:val="00AB2470"/>
    <w:rsid w:val="00AB2D4D"/>
    <w:rsid w:val="00AB40D1"/>
    <w:rsid w:val="00AB7247"/>
    <w:rsid w:val="00AC1BDC"/>
    <w:rsid w:val="00AD2351"/>
    <w:rsid w:val="00AD6EDD"/>
    <w:rsid w:val="00AE2AA9"/>
    <w:rsid w:val="00AE33D9"/>
    <w:rsid w:val="00AE5A9C"/>
    <w:rsid w:val="00AE5E5F"/>
    <w:rsid w:val="00AF2E19"/>
    <w:rsid w:val="00AF4723"/>
    <w:rsid w:val="00AF688C"/>
    <w:rsid w:val="00AF704D"/>
    <w:rsid w:val="00B0120D"/>
    <w:rsid w:val="00B0225E"/>
    <w:rsid w:val="00B03137"/>
    <w:rsid w:val="00B05871"/>
    <w:rsid w:val="00B06192"/>
    <w:rsid w:val="00B0664F"/>
    <w:rsid w:val="00B075EC"/>
    <w:rsid w:val="00B10779"/>
    <w:rsid w:val="00B108A2"/>
    <w:rsid w:val="00B112B9"/>
    <w:rsid w:val="00B1276F"/>
    <w:rsid w:val="00B1282D"/>
    <w:rsid w:val="00B14482"/>
    <w:rsid w:val="00B176A6"/>
    <w:rsid w:val="00B22339"/>
    <w:rsid w:val="00B23172"/>
    <w:rsid w:val="00B23440"/>
    <w:rsid w:val="00B24070"/>
    <w:rsid w:val="00B3015D"/>
    <w:rsid w:val="00B309C9"/>
    <w:rsid w:val="00B30E62"/>
    <w:rsid w:val="00B33218"/>
    <w:rsid w:val="00B33D43"/>
    <w:rsid w:val="00B343F3"/>
    <w:rsid w:val="00B353EF"/>
    <w:rsid w:val="00B365BB"/>
    <w:rsid w:val="00B43A65"/>
    <w:rsid w:val="00B505DB"/>
    <w:rsid w:val="00B5089B"/>
    <w:rsid w:val="00B51066"/>
    <w:rsid w:val="00B56884"/>
    <w:rsid w:val="00B61702"/>
    <w:rsid w:val="00B628D8"/>
    <w:rsid w:val="00B63410"/>
    <w:rsid w:val="00B665E3"/>
    <w:rsid w:val="00B70A13"/>
    <w:rsid w:val="00B70D7D"/>
    <w:rsid w:val="00B713DB"/>
    <w:rsid w:val="00B73BD8"/>
    <w:rsid w:val="00B770DD"/>
    <w:rsid w:val="00B815A3"/>
    <w:rsid w:val="00B929F1"/>
    <w:rsid w:val="00B956B8"/>
    <w:rsid w:val="00B97906"/>
    <w:rsid w:val="00B97F3D"/>
    <w:rsid w:val="00BA1216"/>
    <w:rsid w:val="00BA40D3"/>
    <w:rsid w:val="00BA7A0D"/>
    <w:rsid w:val="00BB0B02"/>
    <w:rsid w:val="00BB33B8"/>
    <w:rsid w:val="00BB3CC0"/>
    <w:rsid w:val="00BB3D92"/>
    <w:rsid w:val="00BB4087"/>
    <w:rsid w:val="00BB474A"/>
    <w:rsid w:val="00BB7524"/>
    <w:rsid w:val="00BB7A5D"/>
    <w:rsid w:val="00BB7AF4"/>
    <w:rsid w:val="00BC030C"/>
    <w:rsid w:val="00BC07B4"/>
    <w:rsid w:val="00BC2BD5"/>
    <w:rsid w:val="00BC5ED9"/>
    <w:rsid w:val="00BC6F2C"/>
    <w:rsid w:val="00BD0A7F"/>
    <w:rsid w:val="00BD6F06"/>
    <w:rsid w:val="00BE1008"/>
    <w:rsid w:val="00BE22B4"/>
    <w:rsid w:val="00BE2A95"/>
    <w:rsid w:val="00BE75DD"/>
    <w:rsid w:val="00BE7743"/>
    <w:rsid w:val="00BF16DD"/>
    <w:rsid w:val="00BF5D31"/>
    <w:rsid w:val="00C01B3A"/>
    <w:rsid w:val="00C03C83"/>
    <w:rsid w:val="00C03CF2"/>
    <w:rsid w:val="00C03F79"/>
    <w:rsid w:val="00C06F9D"/>
    <w:rsid w:val="00C07E1F"/>
    <w:rsid w:val="00C12E64"/>
    <w:rsid w:val="00C1569B"/>
    <w:rsid w:val="00C15AEF"/>
    <w:rsid w:val="00C2198C"/>
    <w:rsid w:val="00C226E5"/>
    <w:rsid w:val="00C24925"/>
    <w:rsid w:val="00C26CD8"/>
    <w:rsid w:val="00C27ACC"/>
    <w:rsid w:val="00C320E0"/>
    <w:rsid w:val="00C33C5B"/>
    <w:rsid w:val="00C363BE"/>
    <w:rsid w:val="00C37398"/>
    <w:rsid w:val="00C40F89"/>
    <w:rsid w:val="00C41328"/>
    <w:rsid w:val="00C415F6"/>
    <w:rsid w:val="00C42556"/>
    <w:rsid w:val="00C45637"/>
    <w:rsid w:val="00C45C3E"/>
    <w:rsid w:val="00C50A7F"/>
    <w:rsid w:val="00C524D4"/>
    <w:rsid w:val="00C524F8"/>
    <w:rsid w:val="00C528C6"/>
    <w:rsid w:val="00C545AB"/>
    <w:rsid w:val="00C55433"/>
    <w:rsid w:val="00C56CB2"/>
    <w:rsid w:val="00C57AE8"/>
    <w:rsid w:val="00C6105F"/>
    <w:rsid w:val="00C62439"/>
    <w:rsid w:val="00C63343"/>
    <w:rsid w:val="00C63E89"/>
    <w:rsid w:val="00C64D39"/>
    <w:rsid w:val="00C657A8"/>
    <w:rsid w:val="00C65A23"/>
    <w:rsid w:val="00C668FB"/>
    <w:rsid w:val="00C6785C"/>
    <w:rsid w:val="00C67F0A"/>
    <w:rsid w:val="00C74AF1"/>
    <w:rsid w:val="00C7766E"/>
    <w:rsid w:val="00C804D5"/>
    <w:rsid w:val="00C827ED"/>
    <w:rsid w:val="00C82D3B"/>
    <w:rsid w:val="00C830C8"/>
    <w:rsid w:val="00C85937"/>
    <w:rsid w:val="00C867C9"/>
    <w:rsid w:val="00C86816"/>
    <w:rsid w:val="00C91BC2"/>
    <w:rsid w:val="00C938EE"/>
    <w:rsid w:val="00C94F2E"/>
    <w:rsid w:val="00C95926"/>
    <w:rsid w:val="00C978C5"/>
    <w:rsid w:val="00CA1DCB"/>
    <w:rsid w:val="00CA3483"/>
    <w:rsid w:val="00CA5050"/>
    <w:rsid w:val="00CB4632"/>
    <w:rsid w:val="00CB5DA0"/>
    <w:rsid w:val="00CC34D0"/>
    <w:rsid w:val="00CC3D17"/>
    <w:rsid w:val="00CC5466"/>
    <w:rsid w:val="00CC68F7"/>
    <w:rsid w:val="00CC7239"/>
    <w:rsid w:val="00CE0431"/>
    <w:rsid w:val="00CE162A"/>
    <w:rsid w:val="00CE395D"/>
    <w:rsid w:val="00CE3C68"/>
    <w:rsid w:val="00CF036D"/>
    <w:rsid w:val="00CF3A64"/>
    <w:rsid w:val="00CF42BA"/>
    <w:rsid w:val="00CF5FF9"/>
    <w:rsid w:val="00CF738F"/>
    <w:rsid w:val="00D01001"/>
    <w:rsid w:val="00D035E1"/>
    <w:rsid w:val="00D04A0B"/>
    <w:rsid w:val="00D1051E"/>
    <w:rsid w:val="00D11809"/>
    <w:rsid w:val="00D11D28"/>
    <w:rsid w:val="00D12178"/>
    <w:rsid w:val="00D12B55"/>
    <w:rsid w:val="00D12BEE"/>
    <w:rsid w:val="00D1474D"/>
    <w:rsid w:val="00D16776"/>
    <w:rsid w:val="00D17BF2"/>
    <w:rsid w:val="00D22524"/>
    <w:rsid w:val="00D23AC2"/>
    <w:rsid w:val="00D26F6E"/>
    <w:rsid w:val="00D272A6"/>
    <w:rsid w:val="00D27314"/>
    <w:rsid w:val="00D27CEC"/>
    <w:rsid w:val="00D3311D"/>
    <w:rsid w:val="00D36599"/>
    <w:rsid w:val="00D368D6"/>
    <w:rsid w:val="00D36B37"/>
    <w:rsid w:val="00D40BC9"/>
    <w:rsid w:val="00D4643A"/>
    <w:rsid w:val="00D500AC"/>
    <w:rsid w:val="00D536D7"/>
    <w:rsid w:val="00D543A8"/>
    <w:rsid w:val="00D609A6"/>
    <w:rsid w:val="00D63818"/>
    <w:rsid w:val="00D63DE4"/>
    <w:rsid w:val="00D644E0"/>
    <w:rsid w:val="00D76289"/>
    <w:rsid w:val="00D80511"/>
    <w:rsid w:val="00D8335D"/>
    <w:rsid w:val="00D84515"/>
    <w:rsid w:val="00D87427"/>
    <w:rsid w:val="00D91963"/>
    <w:rsid w:val="00D94308"/>
    <w:rsid w:val="00D94A2A"/>
    <w:rsid w:val="00D95E94"/>
    <w:rsid w:val="00D96952"/>
    <w:rsid w:val="00D97331"/>
    <w:rsid w:val="00DA1146"/>
    <w:rsid w:val="00DA1D12"/>
    <w:rsid w:val="00DA271F"/>
    <w:rsid w:val="00DA5215"/>
    <w:rsid w:val="00DA6E41"/>
    <w:rsid w:val="00DB351A"/>
    <w:rsid w:val="00DB389C"/>
    <w:rsid w:val="00DB4A97"/>
    <w:rsid w:val="00DB561F"/>
    <w:rsid w:val="00DB62F9"/>
    <w:rsid w:val="00DB701B"/>
    <w:rsid w:val="00DC769B"/>
    <w:rsid w:val="00DC7ACC"/>
    <w:rsid w:val="00DD1959"/>
    <w:rsid w:val="00DD5B20"/>
    <w:rsid w:val="00DD760B"/>
    <w:rsid w:val="00DE284F"/>
    <w:rsid w:val="00DE31CF"/>
    <w:rsid w:val="00DE43B4"/>
    <w:rsid w:val="00DE4DBE"/>
    <w:rsid w:val="00DE6531"/>
    <w:rsid w:val="00DE7093"/>
    <w:rsid w:val="00DF0372"/>
    <w:rsid w:val="00DF07AA"/>
    <w:rsid w:val="00DF082F"/>
    <w:rsid w:val="00DF1501"/>
    <w:rsid w:val="00DF274B"/>
    <w:rsid w:val="00DF2813"/>
    <w:rsid w:val="00DF600A"/>
    <w:rsid w:val="00DF7C2E"/>
    <w:rsid w:val="00E0185A"/>
    <w:rsid w:val="00E01EF1"/>
    <w:rsid w:val="00E02990"/>
    <w:rsid w:val="00E03152"/>
    <w:rsid w:val="00E0705A"/>
    <w:rsid w:val="00E07E1F"/>
    <w:rsid w:val="00E10AB9"/>
    <w:rsid w:val="00E12A55"/>
    <w:rsid w:val="00E13AB3"/>
    <w:rsid w:val="00E151F7"/>
    <w:rsid w:val="00E1655C"/>
    <w:rsid w:val="00E16CD6"/>
    <w:rsid w:val="00E17391"/>
    <w:rsid w:val="00E21F33"/>
    <w:rsid w:val="00E2408C"/>
    <w:rsid w:val="00E25562"/>
    <w:rsid w:val="00E26C88"/>
    <w:rsid w:val="00E32E1A"/>
    <w:rsid w:val="00E33E93"/>
    <w:rsid w:val="00E33EEC"/>
    <w:rsid w:val="00E349E6"/>
    <w:rsid w:val="00E37D0B"/>
    <w:rsid w:val="00E4091A"/>
    <w:rsid w:val="00E40CA5"/>
    <w:rsid w:val="00E410C0"/>
    <w:rsid w:val="00E428CC"/>
    <w:rsid w:val="00E42DC2"/>
    <w:rsid w:val="00E4508E"/>
    <w:rsid w:val="00E47C82"/>
    <w:rsid w:val="00E505D6"/>
    <w:rsid w:val="00E52DE4"/>
    <w:rsid w:val="00E54D64"/>
    <w:rsid w:val="00E562EE"/>
    <w:rsid w:val="00E5720B"/>
    <w:rsid w:val="00E57762"/>
    <w:rsid w:val="00E62476"/>
    <w:rsid w:val="00E637A6"/>
    <w:rsid w:val="00E648A7"/>
    <w:rsid w:val="00E64D19"/>
    <w:rsid w:val="00E67BBD"/>
    <w:rsid w:val="00E67E01"/>
    <w:rsid w:val="00E75AB0"/>
    <w:rsid w:val="00E803E0"/>
    <w:rsid w:val="00E82CE5"/>
    <w:rsid w:val="00E8377A"/>
    <w:rsid w:val="00E84EF1"/>
    <w:rsid w:val="00E8669F"/>
    <w:rsid w:val="00E868E3"/>
    <w:rsid w:val="00E910D3"/>
    <w:rsid w:val="00E91AB3"/>
    <w:rsid w:val="00E9236C"/>
    <w:rsid w:val="00EA65C0"/>
    <w:rsid w:val="00EB1711"/>
    <w:rsid w:val="00EB1D4B"/>
    <w:rsid w:val="00EB1D62"/>
    <w:rsid w:val="00EB21A0"/>
    <w:rsid w:val="00EB363F"/>
    <w:rsid w:val="00EB4FFE"/>
    <w:rsid w:val="00EB68D0"/>
    <w:rsid w:val="00EC0B5A"/>
    <w:rsid w:val="00EC0D04"/>
    <w:rsid w:val="00EC4469"/>
    <w:rsid w:val="00EC507A"/>
    <w:rsid w:val="00EC58B0"/>
    <w:rsid w:val="00ED0B78"/>
    <w:rsid w:val="00ED120F"/>
    <w:rsid w:val="00ED29D9"/>
    <w:rsid w:val="00ED31E6"/>
    <w:rsid w:val="00ED6CD3"/>
    <w:rsid w:val="00EE2BA9"/>
    <w:rsid w:val="00EE3012"/>
    <w:rsid w:val="00EE4ED6"/>
    <w:rsid w:val="00EE56B0"/>
    <w:rsid w:val="00EE6475"/>
    <w:rsid w:val="00EF1A1B"/>
    <w:rsid w:val="00EF3F83"/>
    <w:rsid w:val="00EF5178"/>
    <w:rsid w:val="00F00FF7"/>
    <w:rsid w:val="00F03D74"/>
    <w:rsid w:val="00F058E9"/>
    <w:rsid w:val="00F06689"/>
    <w:rsid w:val="00F06ACC"/>
    <w:rsid w:val="00F10595"/>
    <w:rsid w:val="00F1149E"/>
    <w:rsid w:val="00F135F7"/>
    <w:rsid w:val="00F170BF"/>
    <w:rsid w:val="00F2113B"/>
    <w:rsid w:val="00F21275"/>
    <w:rsid w:val="00F21C44"/>
    <w:rsid w:val="00F23C7A"/>
    <w:rsid w:val="00F27E28"/>
    <w:rsid w:val="00F303BC"/>
    <w:rsid w:val="00F3329E"/>
    <w:rsid w:val="00F335AC"/>
    <w:rsid w:val="00F33712"/>
    <w:rsid w:val="00F3371E"/>
    <w:rsid w:val="00F416B2"/>
    <w:rsid w:val="00F43A77"/>
    <w:rsid w:val="00F44B3F"/>
    <w:rsid w:val="00F4665E"/>
    <w:rsid w:val="00F470A9"/>
    <w:rsid w:val="00F472F9"/>
    <w:rsid w:val="00F50824"/>
    <w:rsid w:val="00F532CD"/>
    <w:rsid w:val="00F55028"/>
    <w:rsid w:val="00F550F2"/>
    <w:rsid w:val="00F56E74"/>
    <w:rsid w:val="00F60B3D"/>
    <w:rsid w:val="00F60E44"/>
    <w:rsid w:val="00F60F8F"/>
    <w:rsid w:val="00F610A6"/>
    <w:rsid w:val="00F65F1A"/>
    <w:rsid w:val="00F706DF"/>
    <w:rsid w:val="00F70E1B"/>
    <w:rsid w:val="00F7377E"/>
    <w:rsid w:val="00F73B9C"/>
    <w:rsid w:val="00F8360B"/>
    <w:rsid w:val="00F8461E"/>
    <w:rsid w:val="00F84A21"/>
    <w:rsid w:val="00F853B0"/>
    <w:rsid w:val="00F85722"/>
    <w:rsid w:val="00F86CB5"/>
    <w:rsid w:val="00F8712C"/>
    <w:rsid w:val="00F93C0A"/>
    <w:rsid w:val="00F946E8"/>
    <w:rsid w:val="00F946F5"/>
    <w:rsid w:val="00F97294"/>
    <w:rsid w:val="00FA078E"/>
    <w:rsid w:val="00FA114C"/>
    <w:rsid w:val="00FA7551"/>
    <w:rsid w:val="00FB164C"/>
    <w:rsid w:val="00FB1655"/>
    <w:rsid w:val="00FB548F"/>
    <w:rsid w:val="00FB6223"/>
    <w:rsid w:val="00FB6275"/>
    <w:rsid w:val="00FC0C47"/>
    <w:rsid w:val="00FC272B"/>
    <w:rsid w:val="00FC35CF"/>
    <w:rsid w:val="00FC48D8"/>
    <w:rsid w:val="00FC5DB5"/>
    <w:rsid w:val="00FC6BBC"/>
    <w:rsid w:val="00FC7271"/>
    <w:rsid w:val="00FD0F2A"/>
    <w:rsid w:val="00FD12F1"/>
    <w:rsid w:val="00FD134A"/>
    <w:rsid w:val="00FD2A98"/>
    <w:rsid w:val="00FD3070"/>
    <w:rsid w:val="00FD3567"/>
    <w:rsid w:val="00FE13BA"/>
    <w:rsid w:val="00FE29D7"/>
    <w:rsid w:val="00FE3D08"/>
    <w:rsid w:val="00FE63E8"/>
    <w:rsid w:val="00FE68D6"/>
    <w:rsid w:val="00FE77A2"/>
    <w:rsid w:val="00FF07FE"/>
    <w:rsid w:val="00FF19AD"/>
    <w:rsid w:val="00FF1BE1"/>
    <w:rsid w:val="00FF5002"/>
    <w:rsid w:val="00FF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96745"/>
  <w15:docId w15:val="{E6B537A0-560A-495A-9998-C0CDB21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35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70355"/>
    <w:pPr>
      <w:keepNext/>
      <w:ind w:right="23"/>
      <w:outlineLvl w:val="0"/>
    </w:pPr>
    <w:rPr>
      <w:rFonts w:ascii="Arial" w:hAnsi="Arial" w:cs="Arial"/>
      <w:kern w:val="36"/>
      <w:sz w:val="36"/>
      <w:szCs w:val="36"/>
    </w:rPr>
  </w:style>
  <w:style w:type="paragraph" w:styleId="Titre2">
    <w:name w:val="heading 2"/>
    <w:basedOn w:val="Normal"/>
    <w:next w:val="Normal"/>
    <w:link w:val="Titre2Car"/>
    <w:uiPriority w:val="9"/>
    <w:semiHidden/>
    <w:unhideWhenUsed/>
    <w:qFormat/>
    <w:rsid w:val="00712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6BB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B1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355"/>
    <w:rPr>
      <w:rFonts w:ascii="Arial" w:hAnsi="Arial" w:cs="Arial"/>
      <w:kern w:val="36"/>
      <w:sz w:val="36"/>
      <w:szCs w:val="36"/>
      <w:lang w:eastAsia="fr-FR"/>
    </w:rPr>
  </w:style>
  <w:style w:type="character" w:styleId="Lienhypertexte">
    <w:name w:val="Hyperlink"/>
    <w:basedOn w:val="Policepardfaut"/>
    <w:uiPriority w:val="99"/>
    <w:unhideWhenUsed/>
    <w:rsid w:val="00970355"/>
    <w:rPr>
      <w:color w:val="0000FF"/>
      <w:u w:val="single"/>
    </w:rPr>
  </w:style>
  <w:style w:type="paragraph" w:styleId="Corpsdetexte">
    <w:name w:val="Body Text"/>
    <w:basedOn w:val="Normal"/>
    <w:link w:val="CorpsdetexteCar"/>
    <w:uiPriority w:val="99"/>
    <w:semiHidden/>
    <w:unhideWhenUsed/>
    <w:rsid w:val="00970355"/>
    <w:pPr>
      <w:ind w:right="23"/>
    </w:pPr>
    <w:rPr>
      <w:sz w:val="20"/>
      <w:szCs w:val="20"/>
    </w:rPr>
  </w:style>
  <w:style w:type="character" w:customStyle="1" w:styleId="CorpsdetexteCar">
    <w:name w:val="Corps de texte Car"/>
    <w:basedOn w:val="Policepardfaut"/>
    <w:link w:val="Corpsdetexte"/>
    <w:uiPriority w:val="99"/>
    <w:semiHidden/>
    <w:rsid w:val="00970355"/>
    <w:rPr>
      <w:rFonts w:ascii="Times New Roman" w:hAnsi="Times New Roman" w:cs="Times New Roman"/>
      <w:sz w:val="20"/>
      <w:szCs w:val="20"/>
      <w:lang w:eastAsia="fr-FR"/>
    </w:rPr>
  </w:style>
  <w:style w:type="character" w:customStyle="1" w:styleId="apple-converted-space">
    <w:name w:val="apple-converted-space"/>
    <w:basedOn w:val="Policepardfaut"/>
    <w:rsid w:val="001362B7"/>
  </w:style>
  <w:style w:type="paragraph" w:styleId="Sansinterligne">
    <w:name w:val="No Spacing"/>
    <w:uiPriority w:val="1"/>
    <w:qFormat/>
    <w:rsid w:val="00873251"/>
    <w:pPr>
      <w:spacing w:after="0" w:line="240" w:lineRule="auto"/>
    </w:pPr>
    <w:rPr>
      <w:rFonts w:ascii="Times New Roman" w:hAnsi="Times New Roman" w:cs="Times New Roman"/>
      <w:sz w:val="24"/>
      <w:szCs w:val="24"/>
      <w:lang w:eastAsia="fr-FR"/>
    </w:rPr>
  </w:style>
  <w:style w:type="character" w:customStyle="1" w:styleId="screen-name">
    <w:name w:val="screen-name"/>
    <w:basedOn w:val="Policepardfaut"/>
    <w:rsid w:val="00CC3D17"/>
  </w:style>
  <w:style w:type="paragraph" w:styleId="Textedebulles">
    <w:name w:val="Balloon Text"/>
    <w:basedOn w:val="Normal"/>
    <w:link w:val="TextedebullesCar"/>
    <w:uiPriority w:val="99"/>
    <w:semiHidden/>
    <w:unhideWhenUsed/>
    <w:rsid w:val="00C1569B"/>
    <w:rPr>
      <w:rFonts w:ascii="Tahoma" w:hAnsi="Tahoma" w:cs="Tahoma"/>
      <w:sz w:val="16"/>
      <w:szCs w:val="16"/>
    </w:rPr>
  </w:style>
  <w:style w:type="character" w:customStyle="1" w:styleId="TextedebullesCar">
    <w:name w:val="Texte de bulles Car"/>
    <w:basedOn w:val="Policepardfaut"/>
    <w:link w:val="Textedebulles"/>
    <w:uiPriority w:val="99"/>
    <w:semiHidden/>
    <w:rsid w:val="00C1569B"/>
    <w:rPr>
      <w:rFonts w:ascii="Tahoma" w:hAnsi="Tahoma" w:cs="Tahoma"/>
      <w:sz w:val="16"/>
      <w:szCs w:val="16"/>
      <w:lang w:eastAsia="fr-FR"/>
    </w:rPr>
  </w:style>
  <w:style w:type="paragraph" w:customStyle="1" w:styleId="ligne">
    <w:name w:val="ligne"/>
    <w:basedOn w:val="Normal"/>
    <w:rsid w:val="00C1569B"/>
    <w:pPr>
      <w:spacing w:before="100" w:beforeAutospacing="1" w:after="100" w:afterAutospacing="1"/>
    </w:pPr>
    <w:rPr>
      <w:rFonts w:eastAsia="Times New Roman"/>
    </w:rPr>
  </w:style>
  <w:style w:type="paragraph" w:customStyle="1" w:styleId="station">
    <w:name w:val="station"/>
    <w:basedOn w:val="Normal"/>
    <w:rsid w:val="00C1569B"/>
    <w:pPr>
      <w:spacing w:before="100" w:beforeAutospacing="1" w:after="100" w:afterAutospacing="1"/>
    </w:pPr>
    <w:rPr>
      <w:rFonts w:eastAsia="Times New Roman"/>
    </w:rPr>
  </w:style>
  <w:style w:type="character" w:customStyle="1" w:styleId="Titre2Car">
    <w:name w:val="Titre 2 Car"/>
    <w:basedOn w:val="Policepardfaut"/>
    <w:link w:val="Titre2"/>
    <w:uiPriority w:val="9"/>
    <w:semiHidden/>
    <w:rsid w:val="0071271D"/>
    <w:rPr>
      <w:rFonts w:asciiTheme="majorHAnsi" w:eastAsiaTheme="majorEastAsia" w:hAnsiTheme="majorHAnsi" w:cstheme="majorBidi"/>
      <w:b/>
      <w:bCs/>
      <w:color w:val="4F81BD" w:themeColor="accent1"/>
      <w:sz w:val="26"/>
      <w:szCs w:val="26"/>
      <w:lang w:eastAsia="fr-FR"/>
    </w:rPr>
  </w:style>
  <w:style w:type="character" w:customStyle="1" w:styleId="u-linkcomplex-target">
    <w:name w:val="u-linkcomplex-target"/>
    <w:basedOn w:val="Policepardfaut"/>
    <w:rsid w:val="0071271D"/>
  </w:style>
  <w:style w:type="paragraph" w:styleId="Paragraphedeliste">
    <w:name w:val="List Paragraph"/>
    <w:basedOn w:val="Normal"/>
    <w:uiPriority w:val="34"/>
    <w:qFormat/>
    <w:rsid w:val="00BF5D31"/>
    <w:pPr>
      <w:ind w:left="720"/>
      <w:contextualSpacing/>
    </w:pPr>
  </w:style>
  <w:style w:type="paragraph" w:styleId="En-tte">
    <w:name w:val="header"/>
    <w:basedOn w:val="Normal"/>
    <w:link w:val="En-tteCar"/>
    <w:uiPriority w:val="99"/>
    <w:unhideWhenUsed/>
    <w:rsid w:val="00BE7743"/>
    <w:pPr>
      <w:tabs>
        <w:tab w:val="center" w:pos="4536"/>
        <w:tab w:val="right" w:pos="9072"/>
      </w:tabs>
    </w:pPr>
  </w:style>
  <w:style w:type="character" w:customStyle="1" w:styleId="En-tteCar">
    <w:name w:val="En-tête Car"/>
    <w:basedOn w:val="Policepardfaut"/>
    <w:link w:val="En-tte"/>
    <w:uiPriority w:val="99"/>
    <w:rsid w:val="00BE774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E7743"/>
    <w:pPr>
      <w:tabs>
        <w:tab w:val="center" w:pos="4536"/>
        <w:tab w:val="right" w:pos="9072"/>
      </w:tabs>
    </w:pPr>
  </w:style>
  <w:style w:type="character" w:customStyle="1" w:styleId="PieddepageCar">
    <w:name w:val="Pied de page Car"/>
    <w:basedOn w:val="Policepardfaut"/>
    <w:link w:val="Pieddepage"/>
    <w:uiPriority w:val="99"/>
    <w:rsid w:val="00BE7743"/>
    <w:rPr>
      <w:rFonts w:ascii="Times New Roman" w:hAnsi="Times New Roman" w:cs="Times New Roman"/>
      <w:sz w:val="24"/>
      <w:szCs w:val="24"/>
      <w:lang w:eastAsia="fr-FR"/>
    </w:rPr>
  </w:style>
  <w:style w:type="character" w:customStyle="1" w:styleId="rc">
    <w:name w:val="rc"/>
    <w:basedOn w:val="Policepardfaut"/>
    <w:rsid w:val="00EB1D4B"/>
  </w:style>
  <w:style w:type="character" w:customStyle="1" w:styleId="Titre4Car">
    <w:name w:val="Titre 4 Car"/>
    <w:basedOn w:val="Policepardfaut"/>
    <w:link w:val="Titre4"/>
    <w:uiPriority w:val="9"/>
    <w:rsid w:val="00EB1D4B"/>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CE0431"/>
    <w:pPr>
      <w:spacing w:before="100" w:beforeAutospacing="1" w:after="100" w:afterAutospacing="1"/>
    </w:pPr>
    <w:rPr>
      <w:rFonts w:eastAsia="Times New Roman"/>
    </w:rPr>
  </w:style>
  <w:style w:type="character" w:customStyle="1" w:styleId="Titre3Car">
    <w:name w:val="Titre 3 Car"/>
    <w:basedOn w:val="Policepardfaut"/>
    <w:link w:val="Titre3"/>
    <w:uiPriority w:val="9"/>
    <w:semiHidden/>
    <w:rsid w:val="002E6BB2"/>
    <w:rPr>
      <w:rFonts w:asciiTheme="majorHAnsi" w:eastAsiaTheme="majorEastAsia" w:hAnsiTheme="majorHAnsi" w:cstheme="majorBidi"/>
      <w:b/>
      <w:bCs/>
      <w:color w:val="4F81BD" w:themeColor="accent1"/>
      <w:sz w:val="24"/>
      <w:szCs w:val="24"/>
      <w:lang w:eastAsia="fr-FR"/>
    </w:rPr>
  </w:style>
  <w:style w:type="character" w:styleId="Accentuation">
    <w:name w:val="Emphasis"/>
    <w:basedOn w:val="Policepardfaut"/>
    <w:uiPriority w:val="20"/>
    <w:qFormat/>
    <w:rsid w:val="008A4A05"/>
    <w:rPr>
      <w:i/>
      <w:iCs/>
    </w:rPr>
  </w:style>
  <w:style w:type="paragraph" w:customStyle="1" w:styleId="Default">
    <w:name w:val="Default"/>
    <w:uiPriority w:val="99"/>
    <w:rsid w:val="00635B97"/>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57894"/>
    <w:rPr>
      <w:b/>
      <w:bCs/>
    </w:rPr>
  </w:style>
  <w:style w:type="character" w:styleId="CitationHTML">
    <w:name w:val="HTML Cite"/>
    <w:basedOn w:val="Policepardfaut"/>
    <w:uiPriority w:val="99"/>
    <w:semiHidden/>
    <w:unhideWhenUsed/>
    <w:rsid w:val="00864759"/>
    <w:rPr>
      <w:i/>
      <w:iCs/>
    </w:rPr>
  </w:style>
  <w:style w:type="character" w:customStyle="1" w:styleId="Mentionnonrsolue1">
    <w:name w:val="Mention non résolue1"/>
    <w:basedOn w:val="Policepardfaut"/>
    <w:uiPriority w:val="99"/>
    <w:semiHidden/>
    <w:unhideWhenUsed/>
    <w:rsid w:val="00C668FB"/>
    <w:rPr>
      <w:color w:val="605E5C"/>
      <w:shd w:val="clear" w:color="auto" w:fill="E1DFDD"/>
    </w:rPr>
  </w:style>
  <w:style w:type="character" w:styleId="Accentuationlgre">
    <w:name w:val="Subtle Emphasis"/>
    <w:basedOn w:val="Policepardfaut"/>
    <w:uiPriority w:val="19"/>
    <w:qFormat/>
    <w:rsid w:val="003C3249"/>
    <w:rPr>
      <w:i/>
      <w:iCs/>
      <w:color w:val="404040" w:themeColor="text1" w:themeTint="BF"/>
    </w:rPr>
  </w:style>
  <w:style w:type="character" w:customStyle="1" w:styleId="Mentionnonrsolue2">
    <w:name w:val="Mention non résolue2"/>
    <w:basedOn w:val="Policepardfaut"/>
    <w:uiPriority w:val="99"/>
    <w:semiHidden/>
    <w:unhideWhenUsed/>
    <w:rsid w:val="001540DF"/>
    <w:rPr>
      <w:color w:val="605E5C"/>
      <w:shd w:val="clear" w:color="auto" w:fill="E1DFDD"/>
    </w:rPr>
  </w:style>
  <w:style w:type="paragraph" w:customStyle="1" w:styleId="BodyA">
    <w:name w:val="Body A"/>
    <w:rsid w:val="00470A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fr-FR"/>
    </w:rPr>
  </w:style>
  <w:style w:type="character" w:customStyle="1" w:styleId="NoneA">
    <w:name w:val="None A"/>
    <w:rsid w:val="00470A67"/>
    <w:rPr>
      <w:lang w:val="en-US"/>
    </w:rPr>
  </w:style>
  <w:style w:type="character" w:styleId="Marquedecommentaire">
    <w:name w:val="annotation reference"/>
    <w:basedOn w:val="Policepardfaut"/>
    <w:uiPriority w:val="99"/>
    <w:semiHidden/>
    <w:unhideWhenUsed/>
    <w:rsid w:val="00472045"/>
    <w:rPr>
      <w:sz w:val="16"/>
      <w:szCs w:val="16"/>
    </w:rPr>
  </w:style>
  <w:style w:type="paragraph" w:styleId="Commentaire">
    <w:name w:val="annotation text"/>
    <w:basedOn w:val="Normal"/>
    <w:link w:val="CommentaireCar"/>
    <w:uiPriority w:val="99"/>
    <w:unhideWhenUsed/>
    <w:rsid w:val="00472045"/>
    <w:rPr>
      <w:sz w:val="20"/>
      <w:szCs w:val="20"/>
    </w:rPr>
  </w:style>
  <w:style w:type="character" w:customStyle="1" w:styleId="CommentaireCar">
    <w:name w:val="Commentaire Car"/>
    <w:basedOn w:val="Policepardfaut"/>
    <w:link w:val="Commentaire"/>
    <w:uiPriority w:val="99"/>
    <w:rsid w:val="0047204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2045"/>
    <w:rPr>
      <w:b/>
      <w:bCs/>
    </w:rPr>
  </w:style>
  <w:style w:type="character" w:customStyle="1" w:styleId="ObjetducommentaireCar">
    <w:name w:val="Objet du commentaire Car"/>
    <w:basedOn w:val="CommentaireCar"/>
    <w:link w:val="Objetducommentaire"/>
    <w:uiPriority w:val="99"/>
    <w:semiHidden/>
    <w:rsid w:val="00472045"/>
    <w:rPr>
      <w:rFonts w:ascii="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C45C3E"/>
    <w:rPr>
      <w:sz w:val="20"/>
      <w:szCs w:val="20"/>
    </w:rPr>
  </w:style>
  <w:style w:type="character" w:customStyle="1" w:styleId="NotedebasdepageCar">
    <w:name w:val="Note de bas de page Car"/>
    <w:basedOn w:val="Policepardfaut"/>
    <w:link w:val="Notedebasdepage"/>
    <w:uiPriority w:val="99"/>
    <w:semiHidden/>
    <w:rsid w:val="00C45C3E"/>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C45C3E"/>
    <w:rPr>
      <w:vertAlign w:val="superscript"/>
    </w:rPr>
  </w:style>
  <w:style w:type="character" w:customStyle="1" w:styleId="Mentionnonrsolue3">
    <w:name w:val="Mention non résolue3"/>
    <w:basedOn w:val="Policepardfaut"/>
    <w:uiPriority w:val="99"/>
    <w:semiHidden/>
    <w:unhideWhenUsed/>
    <w:rsid w:val="00C415F6"/>
    <w:rPr>
      <w:color w:val="605E5C"/>
      <w:shd w:val="clear" w:color="auto" w:fill="E1DFDD"/>
    </w:rPr>
  </w:style>
  <w:style w:type="paragraph" w:styleId="Rvision">
    <w:name w:val="Revision"/>
    <w:hidden/>
    <w:uiPriority w:val="99"/>
    <w:semiHidden/>
    <w:rsid w:val="0061761A"/>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25562"/>
    <w:rPr>
      <w:color w:val="800080" w:themeColor="followedHyperlink"/>
      <w:u w:val="single"/>
    </w:rPr>
  </w:style>
  <w:style w:type="character" w:styleId="Mentionnonrsolue">
    <w:name w:val="Unresolved Mention"/>
    <w:basedOn w:val="Policepardfaut"/>
    <w:uiPriority w:val="99"/>
    <w:semiHidden/>
    <w:unhideWhenUsed/>
    <w:rsid w:val="00DD5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812">
      <w:bodyDiv w:val="1"/>
      <w:marLeft w:val="0"/>
      <w:marRight w:val="0"/>
      <w:marTop w:val="0"/>
      <w:marBottom w:val="0"/>
      <w:divBdr>
        <w:top w:val="none" w:sz="0" w:space="0" w:color="auto"/>
        <w:left w:val="none" w:sz="0" w:space="0" w:color="auto"/>
        <w:bottom w:val="none" w:sz="0" w:space="0" w:color="auto"/>
        <w:right w:val="none" w:sz="0" w:space="0" w:color="auto"/>
      </w:divBdr>
      <w:divsChild>
        <w:div w:id="161312806">
          <w:marLeft w:val="0"/>
          <w:marRight w:val="0"/>
          <w:marTop w:val="0"/>
          <w:marBottom w:val="0"/>
          <w:divBdr>
            <w:top w:val="none" w:sz="0" w:space="0" w:color="auto"/>
            <w:left w:val="none" w:sz="0" w:space="0" w:color="auto"/>
            <w:bottom w:val="none" w:sz="0" w:space="0" w:color="auto"/>
            <w:right w:val="none" w:sz="0" w:space="0" w:color="auto"/>
          </w:divBdr>
          <w:divsChild>
            <w:div w:id="1243023914">
              <w:marLeft w:val="0"/>
              <w:marRight w:val="0"/>
              <w:marTop w:val="0"/>
              <w:marBottom w:val="0"/>
              <w:divBdr>
                <w:top w:val="none" w:sz="0" w:space="0" w:color="auto"/>
                <w:left w:val="none" w:sz="0" w:space="0" w:color="auto"/>
                <w:bottom w:val="none" w:sz="0" w:space="0" w:color="auto"/>
                <w:right w:val="none" w:sz="0" w:space="0" w:color="auto"/>
              </w:divBdr>
              <w:divsChild>
                <w:div w:id="579142958">
                  <w:marLeft w:val="0"/>
                  <w:marRight w:val="0"/>
                  <w:marTop w:val="0"/>
                  <w:marBottom w:val="0"/>
                  <w:divBdr>
                    <w:top w:val="none" w:sz="0" w:space="0" w:color="auto"/>
                    <w:left w:val="none" w:sz="0" w:space="0" w:color="auto"/>
                    <w:bottom w:val="none" w:sz="0" w:space="0" w:color="auto"/>
                    <w:right w:val="none" w:sz="0" w:space="0" w:color="auto"/>
                  </w:divBdr>
                  <w:divsChild>
                    <w:div w:id="1520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8660">
      <w:bodyDiv w:val="1"/>
      <w:marLeft w:val="0"/>
      <w:marRight w:val="0"/>
      <w:marTop w:val="0"/>
      <w:marBottom w:val="0"/>
      <w:divBdr>
        <w:top w:val="none" w:sz="0" w:space="0" w:color="auto"/>
        <w:left w:val="none" w:sz="0" w:space="0" w:color="auto"/>
        <w:bottom w:val="none" w:sz="0" w:space="0" w:color="auto"/>
        <w:right w:val="none" w:sz="0" w:space="0" w:color="auto"/>
      </w:divBdr>
      <w:divsChild>
        <w:div w:id="2108961238">
          <w:marLeft w:val="0"/>
          <w:marRight w:val="0"/>
          <w:marTop w:val="0"/>
          <w:marBottom w:val="0"/>
          <w:divBdr>
            <w:top w:val="none" w:sz="0" w:space="0" w:color="auto"/>
            <w:left w:val="none" w:sz="0" w:space="0" w:color="auto"/>
            <w:bottom w:val="none" w:sz="0" w:space="0" w:color="auto"/>
            <w:right w:val="none" w:sz="0" w:space="0" w:color="auto"/>
          </w:divBdr>
          <w:divsChild>
            <w:div w:id="1236938098">
              <w:marLeft w:val="0"/>
              <w:marRight w:val="0"/>
              <w:marTop w:val="0"/>
              <w:marBottom w:val="0"/>
              <w:divBdr>
                <w:top w:val="none" w:sz="0" w:space="0" w:color="auto"/>
                <w:left w:val="none" w:sz="0" w:space="0" w:color="auto"/>
                <w:bottom w:val="none" w:sz="0" w:space="0" w:color="auto"/>
                <w:right w:val="none" w:sz="0" w:space="0" w:color="auto"/>
              </w:divBdr>
              <w:divsChild>
                <w:div w:id="9662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547">
      <w:bodyDiv w:val="1"/>
      <w:marLeft w:val="0"/>
      <w:marRight w:val="0"/>
      <w:marTop w:val="0"/>
      <w:marBottom w:val="0"/>
      <w:divBdr>
        <w:top w:val="none" w:sz="0" w:space="0" w:color="auto"/>
        <w:left w:val="none" w:sz="0" w:space="0" w:color="auto"/>
        <w:bottom w:val="none" w:sz="0" w:space="0" w:color="auto"/>
        <w:right w:val="none" w:sz="0" w:space="0" w:color="auto"/>
      </w:divBdr>
    </w:div>
    <w:div w:id="165557195">
      <w:bodyDiv w:val="1"/>
      <w:marLeft w:val="0"/>
      <w:marRight w:val="0"/>
      <w:marTop w:val="0"/>
      <w:marBottom w:val="0"/>
      <w:divBdr>
        <w:top w:val="none" w:sz="0" w:space="0" w:color="auto"/>
        <w:left w:val="none" w:sz="0" w:space="0" w:color="auto"/>
        <w:bottom w:val="none" w:sz="0" w:space="0" w:color="auto"/>
        <w:right w:val="none" w:sz="0" w:space="0" w:color="auto"/>
      </w:divBdr>
    </w:div>
    <w:div w:id="183128659">
      <w:bodyDiv w:val="1"/>
      <w:marLeft w:val="0"/>
      <w:marRight w:val="0"/>
      <w:marTop w:val="0"/>
      <w:marBottom w:val="0"/>
      <w:divBdr>
        <w:top w:val="none" w:sz="0" w:space="0" w:color="auto"/>
        <w:left w:val="none" w:sz="0" w:space="0" w:color="auto"/>
        <w:bottom w:val="none" w:sz="0" w:space="0" w:color="auto"/>
        <w:right w:val="none" w:sz="0" w:space="0" w:color="auto"/>
      </w:divBdr>
    </w:div>
    <w:div w:id="217128015">
      <w:bodyDiv w:val="1"/>
      <w:marLeft w:val="0"/>
      <w:marRight w:val="0"/>
      <w:marTop w:val="0"/>
      <w:marBottom w:val="0"/>
      <w:divBdr>
        <w:top w:val="none" w:sz="0" w:space="0" w:color="auto"/>
        <w:left w:val="none" w:sz="0" w:space="0" w:color="auto"/>
        <w:bottom w:val="none" w:sz="0" w:space="0" w:color="auto"/>
        <w:right w:val="none" w:sz="0" w:space="0" w:color="auto"/>
      </w:divBdr>
      <w:divsChild>
        <w:div w:id="868494449">
          <w:marLeft w:val="0"/>
          <w:marRight w:val="0"/>
          <w:marTop w:val="0"/>
          <w:marBottom w:val="0"/>
          <w:divBdr>
            <w:top w:val="none" w:sz="0" w:space="0" w:color="auto"/>
            <w:left w:val="none" w:sz="0" w:space="0" w:color="auto"/>
            <w:bottom w:val="none" w:sz="0" w:space="0" w:color="auto"/>
            <w:right w:val="none" w:sz="0" w:space="0" w:color="auto"/>
          </w:divBdr>
          <w:divsChild>
            <w:div w:id="1569613372">
              <w:marLeft w:val="0"/>
              <w:marRight w:val="0"/>
              <w:marTop w:val="0"/>
              <w:marBottom w:val="0"/>
              <w:divBdr>
                <w:top w:val="none" w:sz="0" w:space="0" w:color="auto"/>
                <w:left w:val="none" w:sz="0" w:space="0" w:color="auto"/>
                <w:bottom w:val="none" w:sz="0" w:space="0" w:color="auto"/>
                <w:right w:val="none" w:sz="0" w:space="0" w:color="auto"/>
              </w:divBdr>
              <w:divsChild>
                <w:div w:id="1051072803">
                  <w:marLeft w:val="0"/>
                  <w:marRight w:val="0"/>
                  <w:marTop w:val="0"/>
                  <w:marBottom w:val="0"/>
                  <w:divBdr>
                    <w:top w:val="none" w:sz="0" w:space="0" w:color="auto"/>
                    <w:left w:val="none" w:sz="0" w:space="0" w:color="auto"/>
                    <w:bottom w:val="none" w:sz="0" w:space="0" w:color="auto"/>
                    <w:right w:val="none" w:sz="0" w:space="0" w:color="auto"/>
                  </w:divBdr>
                  <w:divsChild>
                    <w:div w:id="1454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6439">
      <w:bodyDiv w:val="1"/>
      <w:marLeft w:val="0"/>
      <w:marRight w:val="0"/>
      <w:marTop w:val="0"/>
      <w:marBottom w:val="0"/>
      <w:divBdr>
        <w:top w:val="none" w:sz="0" w:space="0" w:color="auto"/>
        <w:left w:val="none" w:sz="0" w:space="0" w:color="auto"/>
        <w:bottom w:val="none" w:sz="0" w:space="0" w:color="auto"/>
        <w:right w:val="none" w:sz="0" w:space="0" w:color="auto"/>
      </w:divBdr>
    </w:div>
    <w:div w:id="320427602">
      <w:bodyDiv w:val="1"/>
      <w:marLeft w:val="0"/>
      <w:marRight w:val="0"/>
      <w:marTop w:val="0"/>
      <w:marBottom w:val="0"/>
      <w:divBdr>
        <w:top w:val="none" w:sz="0" w:space="0" w:color="auto"/>
        <w:left w:val="none" w:sz="0" w:space="0" w:color="auto"/>
        <w:bottom w:val="none" w:sz="0" w:space="0" w:color="auto"/>
        <w:right w:val="none" w:sz="0" w:space="0" w:color="auto"/>
      </w:divBdr>
      <w:divsChild>
        <w:div w:id="97218038">
          <w:marLeft w:val="0"/>
          <w:marRight w:val="0"/>
          <w:marTop w:val="0"/>
          <w:marBottom w:val="0"/>
          <w:divBdr>
            <w:top w:val="none" w:sz="0" w:space="0" w:color="auto"/>
            <w:left w:val="none" w:sz="0" w:space="0" w:color="auto"/>
            <w:bottom w:val="none" w:sz="0" w:space="0" w:color="auto"/>
            <w:right w:val="none" w:sz="0" w:space="0" w:color="auto"/>
          </w:divBdr>
          <w:divsChild>
            <w:div w:id="486868432">
              <w:marLeft w:val="0"/>
              <w:marRight w:val="0"/>
              <w:marTop w:val="0"/>
              <w:marBottom w:val="0"/>
              <w:divBdr>
                <w:top w:val="none" w:sz="0" w:space="0" w:color="auto"/>
                <w:left w:val="none" w:sz="0" w:space="0" w:color="auto"/>
                <w:bottom w:val="none" w:sz="0" w:space="0" w:color="auto"/>
                <w:right w:val="none" w:sz="0" w:space="0" w:color="auto"/>
              </w:divBdr>
              <w:divsChild>
                <w:div w:id="239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4171">
      <w:bodyDiv w:val="1"/>
      <w:marLeft w:val="0"/>
      <w:marRight w:val="0"/>
      <w:marTop w:val="0"/>
      <w:marBottom w:val="0"/>
      <w:divBdr>
        <w:top w:val="none" w:sz="0" w:space="0" w:color="auto"/>
        <w:left w:val="none" w:sz="0" w:space="0" w:color="auto"/>
        <w:bottom w:val="none" w:sz="0" w:space="0" w:color="auto"/>
        <w:right w:val="none" w:sz="0" w:space="0" w:color="auto"/>
      </w:divBdr>
    </w:div>
    <w:div w:id="462963105">
      <w:bodyDiv w:val="1"/>
      <w:marLeft w:val="0"/>
      <w:marRight w:val="0"/>
      <w:marTop w:val="0"/>
      <w:marBottom w:val="0"/>
      <w:divBdr>
        <w:top w:val="none" w:sz="0" w:space="0" w:color="auto"/>
        <w:left w:val="none" w:sz="0" w:space="0" w:color="auto"/>
        <w:bottom w:val="none" w:sz="0" w:space="0" w:color="auto"/>
        <w:right w:val="none" w:sz="0" w:space="0" w:color="auto"/>
      </w:divBdr>
    </w:div>
    <w:div w:id="478038016">
      <w:bodyDiv w:val="1"/>
      <w:marLeft w:val="0"/>
      <w:marRight w:val="0"/>
      <w:marTop w:val="0"/>
      <w:marBottom w:val="0"/>
      <w:divBdr>
        <w:top w:val="none" w:sz="0" w:space="0" w:color="auto"/>
        <w:left w:val="none" w:sz="0" w:space="0" w:color="auto"/>
        <w:bottom w:val="none" w:sz="0" w:space="0" w:color="auto"/>
        <w:right w:val="none" w:sz="0" w:space="0" w:color="auto"/>
      </w:divBdr>
    </w:div>
    <w:div w:id="621771932">
      <w:bodyDiv w:val="1"/>
      <w:marLeft w:val="0"/>
      <w:marRight w:val="0"/>
      <w:marTop w:val="0"/>
      <w:marBottom w:val="0"/>
      <w:divBdr>
        <w:top w:val="none" w:sz="0" w:space="0" w:color="auto"/>
        <w:left w:val="none" w:sz="0" w:space="0" w:color="auto"/>
        <w:bottom w:val="none" w:sz="0" w:space="0" w:color="auto"/>
        <w:right w:val="none" w:sz="0" w:space="0" w:color="auto"/>
      </w:divBdr>
      <w:divsChild>
        <w:div w:id="2127962869">
          <w:marLeft w:val="0"/>
          <w:marRight w:val="0"/>
          <w:marTop w:val="0"/>
          <w:marBottom w:val="0"/>
          <w:divBdr>
            <w:top w:val="none" w:sz="0" w:space="0" w:color="auto"/>
            <w:left w:val="none" w:sz="0" w:space="0" w:color="auto"/>
            <w:bottom w:val="none" w:sz="0" w:space="0" w:color="auto"/>
            <w:right w:val="none" w:sz="0" w:space="0" w:color="auto"/>
          </w:divBdr>
          <w:divsChild>
            <w:div w:id="1462769619">
              <w:marLeft w:val="0"/>
              <w:marRight w:val="0"/>
              <w:marTop w:val="0"/>
              <w:marBottom w:val="0"/>
              <w:divBdr>
                <w:top w:val="none" w:sz="0" w:space="0" w:color="auto"/>
                <w:left w:val="none" w:sz="0" w:space="0" w:color="auto"/>
                <w:bottom w:val="none" w:sz="0" w:space="0" w:color="auto"/>
                <w:right w:val="none" w:sz="0" w:space="0" w:color="auto"/>
              </w:divBdr>
              <w:divsChild>
                <w:div w:id="1953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2937">
      <w:bodyDiv w:val="1"/>
      <w:marLeft w:val="0"/>
      <w:marRight w:val="0"/>
      <w:marTop w:val="0"/>
      <w:marBottom w:val="0"/>
      <w:divBdr>
        <w:top w:val="none" w:sz="0" w:space="0" w:color="auto"/>
        <w:left w:val="none" w:sz="0" w:space="0" w:color="auto"/>
        <w:bottom w:val="none" w:sz="0" w:space="0" w:color="auto"/>
        <w:right w:val="none" w:sz="0" w:space="0" w:color="auto"/>
      </w:divBdr>
    </w:div>
    <w:div w:id="768551443">
      <w:bodyDiv w:val="1"/>
      <w:marLeft w:val="0"/>
      <w:marRight w:val="0"/>
      <w:marTop w:val="0"/>
      <w:marBottom w:val="0"/>
      <w:divBdr>
        <w:top w:val="none" w:sz="0" w:space="0" w:color="auto"/>
        <w:left w:val="none" w:sz="0" w:space="0" w:color="auto"/>
        <w:bottom w:val="none" w:sz="0" w:space="0" w:color="auto"/>
        <w:right w:val="none" w:sz="0" w:space="0" w:color="auto"/>
      </w:divBdr>
      <w:divsChild>
        <w:div w:id="1040477413">
          <w:marLeft w:val="0"/>
          <w:marRight w:val="0"/>
          <w:marTop w:val="0"/>
          <w:marBottom w:val="0"/>
          <w:divBdr>
            <w:top w:val="none" w:sz="0" w:space="0" w:color="auto"/>
            <w:left w:val="none" w:sz="0" w:space="0" w:color="auto"/>
            <w:bottom w:val="none" w:sz="0" w:space="0" w:color="auto"/>
            <w:right w:val="none" w:sz="0" w:space="0" w:color="auto"/>
          </w:divBdr>
          <w:divsChild>
            <w:div w:id="315841777">
              <w:marLeft w:val="0"/>
              <w:marRight w:val="0"/>
              <w:marTop w:val="0"/>
              <w:marBottom w:val="0"/>
              <w:divBdr>
                <w:top w:val="none" w:sz="0" w:space="0" w:color="auto"/>
                <w:left w:val="none" w:sz="0" w:space="0" w:color="auto"/>
                <w:bottom w:val="none" w:sz="0" w:space="0" w:color="auto"/>
                <w:right w:val="none" w:sz="0" w:space="0" w:color="auto"/>
              </w:divBdr>
              <w:divsChild>
                <w:div w:id="1580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23046">
      <w:bodyDiv w:val="1"/>
      <w:marLeft w:val="0"/>
      <w:marRight w:val="0"/>
      <w:marTop w:val="0"/>
      <w:marBottom w:val="0"/>
      <w:divBdr>
        <w:top w:val="none" w:sz="0" w:space="0" w:color="auto"/>
        <w:left w:val="none" w:sz="0" w:space="0" w:color="auto"/>
        <w:bottom w:val="none" w:sz="0" w:space="0" w:color="auto"/>
        <w:right w:val="none" w:sz="0" w:space="0" w:color="auto"/>
      </w:divBdr>
      <w:divsChild>
        <w:div w:id="277680911">
          <w:marLeft w:val="0"/>
          <w:marRight w:val="0"/>
          <w:marTop w:val="0"/>
          <w:marBottom w:val="0"/>
          <w:divBdr>
            <w:top w:val="none" w:sz="0" w:space="0" w:color="auto"/>
            <w:left w:val="none" w:sz="0" w:space="0" w:color="auto"/>
            <w:bottom w:val="none" w:sz="0" w:space="0" w:color="auto"/>
            <w:right w:val="none" w:sz="0" w:space="0" w:color="auto"/>
          </w:divBdr>
          <w:divsChild>
            <w:div w:id="918908656">
              <w:marLeft w:val="0"/>
              <w:marRight w:val="0"/>
              <w:marTop w:val="0"/>
              <w:marBottom w:val="0"/>
              <w:divBdr>
                <w:top w:val="none" w:sz="0" w:space="0" w:color="auto"/>
                <w:left w:val="none" w:sz="0" w:space="0" w:color="auto"/>
                <w:bottom w:val="none" w:sz="0" w:space="0" w:color="auto"/>
                <w:right w:val="none" w:sz="0" w:space="0" w:color="auto"/>
              </w:divBdr>
              <w:divsChild>
                <w:div w:id="13206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2294">
      <w:bodyDiv w:val="1"/>
      <w:marLeft w:val="0"/>
      <w:marRight w:val="0"/>
      <w:marTop w:val="0"/>
      <w:marBottom w:val="0"/>
      <w:divBdr>
        <w:top w:val="none" w:sz="0" w:space="0" w:color="auto"/>
        <w:left w:val="none" w:sz="0" w:space="0" w:color="auto"/>
        <w:bottom w:val="none" w:sz="0" w:space="0" w:color="auto"/>
        <w:right w:val="none" w:sz="0" w:space="0" w:color="auto"/>
      </w:divBdr>
    </w:div>
    <w:div w:id="817304494">
      <w:bodyDiv w:val="1"/>
      <w:marLeft w:val="0"/>
      <w:marRight w:val="0"/>
      <w:marTop w:val="0"/>
      <w:marBottom w:val="0"/>
      <w:divBdr>
        <w:top w:val="none" w:sz="0" w:space="0" w:color="auto"/>
        <w:left w:val="none" w:sz="0" w:space="0" w:color="auto"/>
        <w:bottom w:val="none" w:sz="0" w:space="0" w:color="auto"/>
        <w:right w:val="none" w:sz="0" w:space="0" w:color="auto"/>
      </w:divBdr>
      <w:divsChild>
        <w:div w:id="742459410">
          <w:marLeft w:val="0"/>
          <w:marRight w:val="0"/>
          <w:marTop w:val="0"/>
          <w:marBottom w:val="0"/>
          <w:divBdr>
            <w:top w:val="none" w:sz="0" w:space="0" w:color="auto"/>
            <w:left w:val="none" w:sz="0" w:space="0" w:color="auto"/>
            <w:bottom w:val="none" w:sz="0" w:space="0" w:color="auto"/>
            <w:right w:val="none" w:sz="0" w:space="0" w:color="auto"/>
          </w:divBdr>
          <w:divsChild>
            <w:div w:id="1441413909">
              <w:marLeft w:val="0"/>
              <w:marRight w:val="0"/>
              <w:marTop w:val="0"/>
              <w:marBottom w:val="0"/>
              <w:divBdr>
                <w:top w:val="none" w:sz="0" w:space="0" w:color="auto"/>
                <w:left w:val="none" w:sz="0" w:space="0" w:color="auto"/>
                <w:bottom w:val="none" w:sz="0" w:space="0" w:color="auto"/>
                <w:right w:val="none" w:sz="0" w:space="0" w:color="auto"/>
              </w:divBdr>
              <w:divsChild>
                <w:div w:id="1166478789">
                  <w:marLeft w:val="0"/>
                  <w:marRight w:val="0"/>
                  <w:marTop w:val="0"/>
                  <w:marBottom w:val="0"/>
                  <w:divBdr>
                    <w:top w:val="none" w:sz="0" w:space="0" w:color="auto"/>
                    <w:left w:val="none" w:sz="0" w:space="0" w:color="auto"/>
                    <w:bottom w:val="none" w:sz="0" w:space="0" w:color="auto"/>
                    <w:right w:val="none" w:sz="0" w:space="0" w:color="auto"/>
                  </w:divBdr>
                  <w:divsChild>
                    <w:div w:id="1753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2301">
      <w:bodyDiv w:val="1"/>
      <w:marLeft w:val="0"/>
      <w:marRight w:val="0"/>
      <w:marTop w:val="0"/>
      <w:marBottom w:val="0"/>
      <w:divBdr>
        <w:top w:val="none" w:sz="0" w:space="0" w:color="auto"/>
        <w:left w:val="none" w:sz="0" w:space="0" w:color="auto"/>
        <w:bottom w:val="none" w:sz="0" w:space="0" w:color="auto"/>
        <w:right w:val="none" w:sz="0" w:space="0" w:color="auto"/>
      </w:divBdr>
    </w:div>
    <w:div w:id="1209143477">
      <w:bodyDiv w:val="1"/>
      <w:marLeft w:val="0"/>
      <w:marRight w:val="0"/>
      <w:marTop w:val="0"/>
      <w:marBottom w:val="0"/>
      <w:divBdr>
        <w:top w:val="none" w:sz="0" w:space="0" w:color="auto"/>
        <w:left w:val="none" w:sz="0" w:space="0" w:color="auto"/>
        <w:bottom w:val="none" w:sz="0" w:space="0" w:color="auto"/>
        <w:right w:val="none" w:sz="0" w:space="0" w:color="auto"/>
      </w:divBdr>
    </w:div>
    <w:div w:id="1292789479">
      <w:bodyDiv w:val="1"/>
      <w:marLeft w:val="0"/>
      <w:marRight w:val="0"/>
      <w:marTop w:val="0"/>
      <w:marBottom w:val="0"/>
      <w:divBdr>
        <w:top w:val="none" w:sz="0" w:space="0" w:color="auto"/>
        <w:left w:val="none" w:sz="0" w:space="0" w:color="auto"/>
        <w:bottom w:val="none" w:sz="0" w:space="0" w:color="auto"/>
        <w:right w:val="none" w:sz="0" w:space="0" w:color="auto"/>
      </w:divBdr>
      <w:divsChild>
        <w:div w:id="274944628">
          <w:marLeft w:val="0"/>
          <w:marRight w:val="0"/>
          <w:marTop w:val="0"/>
          <w:marBottom w:val="0"/>
          <w:divBdr>
            <w:top w:val="none" w:sz="0" w:space="0" w:color="auto"/>
            <w:left w:val="none" w:sz="0" w:space="0" w:color="auto"/>
            <w:bottom w:val="none" w:sz="0" w:space="0" w:color="auto"/>
            <w:right w:val="none" w:sz="0" w:space="0" w:color="auto"/>
          </w:divBdr>
          <w:divsChild>
            <w:div w:id="127092668">
              <w:marLeft w:val="0"/>
              <w:marRight w:val="0"/>
              <w:marTop w:val="0"/>
              <w:marBottom w:val="0"/>
              <w:divBdr>
                <w:top w:val="none" w:sz="0" w:space="0" w:color="auto"/>
                <w:left w:val="none" w:sz="0" w:space="0" w:color="auto"/>
                <w:bottom w:val="none" w:sz="0" w:space="0" w:color="auto"/>
                <w:right w:val="none" w:sz="0" w:space="0" w:color="auto"/>
              </w:divBdr>
              <w:divsChild>
                <w:div w:id="1127310246">
                  <w:marLeft w:val="0"/>
                  <w:marRight w:val="0"/>
                  <w:marTop w:val="0"/>
                  <w:marBottom w:val="0"/>
                  <w:divBdr>
                    <w:top w:val="none" w:sz="0" w:space="0" w:color="auto"/>
                    <w:left w:val="none" w:sz="0" w:space="0" w:color="auto"/>
                    <w:bottom w:val="none" w:sz="0" w:space="0" w:color="auto"/>
                    <w:right w:val="none" w:sz="0" w:space="0" w:color="auto"/>
                  </w:divBdr>
                  <w:divsChild>
                    <w:div w:id="1015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308">
      <w:bodyDiv w:val="1"/>
      <w:marLeft w:val="0"/>
      <w:marRight w:val="0"/>
      <w:marTop w:val="0"/>
      <w:marBottom w:val="0"/>
      <w:divBdr>
        <w:top w:val="none" w:sz="0" w:space="0" w:color="auto"/>
        <w:left w:val="none" w:sz="0" w:space="0" w:color="auto"/>
        <w:bottom w:val="none" w:sz="0" w:space="0" w:color="auto"/>
        <w:right w:val="none" w:sz="0" w:space="0" w:color="auto"/>
      </w:divBdr>
      <w:divsChild>
        <w:div w:id="177232978">
          <w:marLeft w:val="0"/>
          <w:marRight w:val="0"/>
          <w:marTop w:val="0"/>
          <w:marBottom w:val="0"/>
          <w:divBdr>
            <w:top w:val="none" w:sz="0" w:space="0" w:color="auto"/>
            <w:left w:val="none" w:sz="0" w:space="0" w:color="auto"/>
            <w:bottom w:val="none" w:sz="0" w:space="0" w:color="auto"/>
            <w:right w:val="none" w:sz="0" w:space="0" w:color="auto"/>
          </w:divBdr>
          <w:divsChild>
            <w:div w:id="907810107">
              <w:marLeft w:val="0"/>
              <w:marRight w:val="0"/>
              <w:marTop w:val="0"/>
              <w:marBottom w:val="0"/>
              <w:divBdr>
                <w:top w:val="none" w:sz="0" w:space="0" w:color="auto"/>
                <w:left w:val="none" w:sz="0" w:space="0" w:color="auto"/>
                <w:bottom w:val="none" w:sz="0" w:space="0" w:color="auto"/>
                <w:right w:val="none" w:sz="0" w:space="0" w:color="auto"/>
              </w:divBdr>
              <w:divsChild>
                <w:div w:id="212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261">
      <w:bodyDiv w:val="1"/>
      <w:marLeft w:val="0"/>
      <w:marRight w:val="0"/>
      <w:marTop w:val="0"/>
      <w:marBottom w:val="0"/>
      <w:divBdr>
        <w:top w:val="none" w:sz="0" w:space="0" w:color="auto"/>
        <w:left w:val="none" w:sz="0" w:space="0" w:color="auto"/>
        <w:bottom w:val="none" w:sz="0" w:space="0" w:color="auto"/>
        <w:right w:val="none" w:sz="0" w:space="0" w:color="auto"/>
      </w:divBdr>
    </w:div>
    <w:div w:id="1434082861">
      <w:bodyDiv w:val="1"/>
      <w:marLeft w:val="0"/>
      <w:marRight w:val="0"/>
      <w:marTop w:val="0"/>
      <w:marBottom w:val="0"/>
      <w:divBdr>
        <w:top w:val="none" w:sz="0" w:space="0" w:color="auto"/>
        <w:left w:val="none" w:sz="0" w:space="0" w:color="auto"/>
        <w:bottom w:val="none" w:sz="0" w:space="0" w:color="auto"/>
        <w:right w:val="none" w:sz="0" w:space="0" w:color="auto"/>
      </w:divBdr>
      <w:divsChild>
        <w:div w:id="1060246825">
          <w:marLeft w:val="0"/>
          <w:marRight w:val="0"/>
          <w:marTop w:val="0"/>
          <w:marBottom w:val="0"/>
          <w:divBdr>
            <w:top w:val="none" w:sz="0" w:space="0" w:color="auto"/>
            <w:left w:val="none" w:sz="0" w:space="0" w:color="auto"/>
            <w:bottom w:val="none" w:sz="0" w:space="0" w:color="auto"/>
            <w:right w:val="none" w:sz="0" w:space="0" w:color="auto"/>
          </w:divBdr>
          <w:divsChild>
            <w:div w:id="1036781677">
              <w:marLeft w:val="0"/>
              <w:marRight w:val="0"/>
              <w:marTop w:val="0"/>
              <w:marBottom w:val="0"/>
              <w:divBdr>
                <w:top w:val="none" w:sz="0" w:space="0" w:color="auto"/>
                <w:left w:val="none" w:sz="0" w:space="0" w:color="auto"/>
                <w:bottom w:val="none" w:sz="0" w:space="0" w:color="auto"/>
                <w:right w:val="none" w:sz="0" w:space="0" w:color="auto"/>
              </w:divBdr>
              <w:divsChild>
                <w:div w:id="281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5758">
      <w:bodyDiv w:val="1"/>
      <w:marLeft w:val="0"/>
      <w:marRight w:val="0"/>
      <w:marTop w:val="0"/>
      <w:marBottom w:val="0"/>
      <w:divBdr>
        <w:top w:val="none" w:sz="0" w:space="0" w:color="auto"/>
        <w:left w:val="none" w:sz="0" w:space="0" w:color="auto"/>
        <w:bottom w:val="none" w:sz="0" w:space="0" w:color="auto"/>
        <w:right w:val="none" w:sz="0" w:space="0" w:color="auto"/>
      </w:divBdr>
      <w:divsChild>
        <w:div w:id="1657807573">
          <w:marLeft w:val="0"/>
          <w:marRight w:val="0"/>
          <w:marTop w:val="0"/>
          <w:marBottom w:val="0"/>
          <w:divBdr>
            <w:top w:val="none" w:sz="0" w:space="0" w:color="auto"/>
            <w:left w:val="none" w:sz="0" w:space="0" w:color="auto"/>
            <w:bottom w:val="none" w:sz="0" w:space="0" w:color="auto"/>
            <w:right w:val="none" w:sz="0" w:space="0" w:color="auto"/>
          </w:divBdr>
          <w:divsChild>
            <w:div w:id="1247575612">
              <w:marLeft w:val="0"/>
              <w:marRight w:val="0"/>
              <w:marTop w:val="0"/>
              <w:marBottom w:val="0"/>
              <w:divBdr>
                <w:top w:val="none" w:sz="0" w:space="0" w:color="auto"/>
                <w:left w:val="none" w:sz="0" w:space="0" w:color="auto"/>
                <w:bottom w:val="none" w:sz="0" w:space="0" w:color="auto"/>
                <w:right w:val="none" w:sz="0" w:space="0" w:color="auto"/>
              </w:divBdr>
              <w:divsChild>
                <w:div w:id="1453481932">
                  <w:marLeft w:val="0"/>
                  <w:marRight w:val="0"/>
                  <w:marTop w:val="0"/>
                  <w:marBottom w:val="0"/>
                  <w:divBdr>
                    <w:top w:val="none" w:sz="0" w:space="0" w:color="auto"/>
                    <w:left w:val="none" w:sz="0" w:space="0" w:color="auto"/>
                    <w:bottom w:val="none" w:sz="0" w:space="0" w:color="auto"/>
                    <w:right w:val="none" w:sz="0" w:space="0" w:color="auto"/>
                  </w:divBdr>
                  <w:divsChild>
                    <w:div w:id="245191628">
                      <w:marLeft w:val="0"/>
                      <w:marRight w:val="0"/>
                      <w:marTop w:val="0"/>
                      <w:marBottom w:val="0"/>
                      <w:divBdr>
                        <w:top w:val="none" w:sz="0" w:space="0" w:color="auto"/>
                        <w:left w:val="none" w:sz="0" w:space="0" w:color="auto"/>
                        <w:bottom w:val="none" w:sz="0" w:space="0" w:color="auto"/>
                        <w:right w:val="none" w:sz="0" w:space="0" w:color="auto"/>
                      </w:divBdr>
                    </w:div>
                    <w:div w:id="19976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92599">
      <w:bodyDiv w:val="1"/>
      <w:marLeft w:val="0"/>
      <w:marRight w:val="0"/>
      <w:marTop w:val="0"/>
      <w:marBottom w:val="0"/>
      <w:divBdr>
        <w:top w:val="none" w:sz="0" w:space="0" w:color="auto"/>
        <w:left w:val="none" w:sz="0" w:space="0" w:color="auto"/>
        <w:bottom w:val="none" w:sz="0" w:space="0" w:color="auto"/>
        <w:right w:val="none" w:sz="0" w:space="0" w:color="auto"/>
      </w:divBdr>
      <w:divsChild>
        <w:div w:id="1402679762">
          <w:marLeft w:val="0"/>
          <w:marRight w:val="0"/>
          <w:marTop w:val="0"/>
          <w:marBottom w:val="0"/>
          <w:divBdr>
            <w:top w:val="none" w:sz="0" w:space="0" w:color="auto"/>
            <w:left w:val="none" w:sz="0" w:space="0" w:color="auto"/>
            <w:bottom w:val="none" w:sz="0" w:space="0" w:color="auto"/>
            <w:right w:val="none" w:sz="0" w:space="0" w:color="auto"/>
          </w:divBdr>
          <w:divsChild>
            <w:div w:id="1234007284">
              <w:marLeft w:val="0"/>
              <w:marRight w:val="0"/>
              <w:marTop w:val="0"/>
              <w:marBottom w:val="0"/>
              <w:divBdr>
                <w:top w:val="none" w:sz="0" w:space="0" w:color="auto"/>
                <w:left w:val="none" w:sz="0" w:space="0" w:color="auto"/>
                <w:bottom w:val="none" w:sz="0" w:space="0" w:color="auto"/>
                <w:right w:val="none" w:sz="0" w:space="0" w:color="auto"/>
              </w:divBdr>
              <w:divsChild>
                <w:div w:id="335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886">
      <w:bodyDiv w:val="1"/>
      <w:marLeft w:val="0"/>
      <w:marRight w:val="0"/>
      <w:marTop w:val="0"/>
      <w:marBottom w:val="0"/>
      <w:divBdr>
        <w:top w:val="none" w:sz="0" w:space="0" w:color="auto"/>
        <w:left w:val="none" w:sz="0" w:space="0" w:color="auto"/>
        <w:bottom w:val="none" w:sz="0" w:space="0" w:color="auto"/>
        <w:right w:val="none" w:sz="0" w:space="0" w:color="auto"/>
      </w:divBdr>
    </w:div>
    <w:div w:id="1548375912">
      <w:bodyDiv w:val="1"/>
      <w:marLeft w:val="0"/>
      <w:marRight w:val="0"/>
      <w:marTop w:val="0"/>
      <w:marBottom w:val="0"/>
      <w:divBdr>
        <w:top w:val="none" w:sz="0" w:space="0" w:color="auto"/>
        <w:left w:val="none" w:sz="0" w:space="0" w:color="auto"/>
        <w:bottom w:val="none" w:sz="0" w:space="0" w:color="auto"/>
        <w:right w:val="none" w:sz="0" w:space="0" w:color="auto"/>
      </w:divBdr>
    </w:div>
    <w:div w:id="1660647541">
      <w:bodyDiv w:val="1"/>
      <w:marLeft w:val="0"/>
      <w:marRight w:val="0"/>
      <w:marTop w:val="0"/>
      <w:marBottom w:val="0"/>
      <w:divBdr>
        <w:top w:val="none" w:sz="0" w:space="0" w:color="auto"/>
        <w:left w:val="none" w:sz="0" w:space="0" w:color="auto"/>
        <w:bottom w:val="none" w:sz="0" w:space="0" w:color="auto"/>
        <w:right w:val="none" w:sz="0" w:space="0" w:color="auto"/>
      </w:divBdr>
    </w:div>
    <w:div w:id="1732800537">
      <w:bodyDiv w:val="1"/>
      <w:marLeft w:val="0"/>
      <w:marRight w:val="0"/>
      <w:marTop w:val="0"/>
      <w:marBottom w:val="0"/>
      <w:divBdr>
        <w:top w:val="none" w:sz="0" w:space="0" w:color="auto"/>
        <w:left w:val="none" w:sz="0" w:space="0" w:color="auto"/>
        <w:bottom w:val="none" w:sz="0" w:space="0" w:color="auto"/>
        <w:right w:val="none" w:sz="0" w:space="0" w:color="auto"/>
      </w:divBdr>
    </w:div>
    <w:div w:id="1737819588">
      <w:bodyDiv w:val="1"/>
      <w:marLeft w:val="0"/>
      <w:marRight w:val="0"/>
      <w:marTop w:val="0"/>
      <w:marBottom w:val="0"/>
      <w:divBdr>
        <w:top w:val="none" w:sz="0" w:space="0" w:color="auto"/>
        <w:left w:val="none" w:sz="0" w:space="0" w:color="auto"/>
        <w:bottom w:val="none" w:sz="0" w:space="0" w:color="auto"/>
        <w:right w:val="none" w:sz="0" w:space="0" w:color="auto"/>
      </w:divBdr>
      <w:divsChild>
        <w:div w:id="1822305292">
          <w:marLeft w:val="0"/>
          <w:marRight w:val="0"/>
          <w:marTop w:val="0"/>
          <w:marBottom w:val="0"/>
          <w:divBdr>
            <w:top w:val="none" w:sz="0" w:space="0" w:color="auto"/>
            <w:left w:val="none" w:sz="0" w:space="0" w:color="auto"/>
            <w:bottom w:val="none" w:sz="0" w:space="0" w:color="auto"/>
            <w:right w:val="none" w:sz="0" w:space="0" w:color="auto"/>
          </w:divBdr>
          <w:divsChild>
            <w:div w:id="96491586">
              <w:marLeft w:val="0"/>
              <w:marRight w:val="0"/>
              <w:marTop w:val="0"/>
              <w:marBottom w:val="0"/>
              <w:divBdr>
                <w:top w:val="none" w:sz="0" w:space="0" w:color="auto"/>
                <w:left w:val="none" w:sz="0" w:space="0" w:color="auto"/>
                <w:bottom w:val="none" w:sz="0" w:space="0" w:color="auto"/>
                <w:right w:val="none" w:sz="0" w:space="0" w:color="auto"/>
              </w:divBdr>
              <w:divsChild>
                <w:div w:id="459886047">
                  <w:marLeft w:val="0"/>
                  <w:marRight w:val="0"/>
                  <w:marTop w:val="0"/>
                  <w:marBottom w:val="0"/>
                  <w:divBdr>
                    <w:top w:val="none" w:sz="0" w:space="0" w:color="auto"/>
                    <w:left w:val="none" w:sz="0" w:space="0" w:color="auto"/>
                    <w:bottom w:val="none" w:sz="0" w:space="0" w:color="auto"/>
                    <w:right w:val="none" w:sz="0" w:space="0" w:color="auto"/>
                  </w:divBdr>
                  <w:divsChild>
                    <w:div w:id="194126654">
                      <w:marLeft w:val="0"/>
                      <w:marRight w:val="0"/>
                      <w:marTop w:val="0"/>
                      <w:marBottom w:val="0"/>
                      <w:divBdr>
                        <w:top w:val="none" w:sz="0" w:space="0" w:color="auto"/>
                        <w:left w:val="none" w:sz="0" w:space="0" w:color="auto"/>
                        <w:bottom w:val="none" w:sz="0" w:space="0" w:color="auto"/>
                        <w:right w:val="none" w:sz="0" w:space="0" w:color="auto"/>
                      </w:divBdr>
                    </w:div>
                    <w:div w:id="12230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62036">
      <w:bodyDiv w:val="1"/>
      <w:marLeft w:val="0"/>
      <w:marRight w:val="0"/>
      <w:marTop w:val="0"/>
      <w:marBottom w:val="0"/>
      <w:divBdr>
        <w:top w:val="none" w:sz="0" w:space="0" w:color="auto"/>
        <w:left w:val="none" w:sz="0" w:space="0" w:color="auto"/>
        <w:bottom w:val="none" w:sz="0" w:space="0" w:color="auto"/>
        <w:right w:val="none" w:sz="0" w:space="0" w:color="auto"/>
      </w:divBdr>
      <w:divsChild>
        <w:div w:id="1691880925">
          <w:marLeft w:val="0"/>
          <w:marRight w:val="0"/>
          <w:marTop w:val="0"/>
          <w:marBottom w:val="0"/>
          <w:divBdr>
            <w:top w:val="none" w:sz="0" w:space="0" w:color="auto"/>
            <w:left w:val="none" w:sz="0" w:space="0" w:color="auto"/>
            <w:bottom w:val="none" w:sz="0" w:space="0" w:color="auto"/>
            <w:right w:val="none" w:sz="0" w:space="0" w:color="auto"/>
          </w:divBdr>
          <w:divsChild>
            <w:div w:id="1348750070">
              <w:marLeft w:val="0"/>
              <w:marRight w:val="0"/>
              <w:marTop w:val="0"/>
              <w:marBottom w:val="0"/>
              <w:divBdr>
                <w:top w:val="none" w:sz="0" w:space="0" w:color="auto"/>
                <w:left w:val="none" w:sz="0" w:space="0" w:color="auto"/>
                <w:bottom w:val="none" w:sz="0" w:space="0" w:color="auto"/>
                <w:right w:val="none" w:sz="0" w:space="0" w:color="auto"/>
              </w:divBdr>
              <w:divsChild>
                <w:div w:id="2075200124">
                  <w:marLeft w:val="0"/>
                  <w:marRight w:val="0"/>
                  <w:marTop w:val="0"/>
                  <w:marBottom w:val="0"/>
                  <w:divBdr>
                    <w:top w:val="none" w:sz="0" w:space="0" w:color="auto"/>
                    <w:left w:val="none" w:sz="0" w:space="0" w:color="auto"/>
                    <w:bottom w:val="none" w:sz="0" w:space="0" w:color="auto"/>
                    <w:right w:val="none" w:sz="0" w:space="0" w:color="auto"/>
                  </w:divBdr>
                  <w:divsChild>
                    <w:div w:id="4479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124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1">
          <w:marLeft w:val="0"/>
          <w:marRight w:val="0"/>
          <w:marTop w:val="0"/>
          <w:marBottom w:val="0"/>
          <w:divBdr>
            <w:top w:val="none" w:sz="0" w:space="0" w:color="auto"/>
            <w:left w:val="none" w:sz="0" w:space="0" w:color="auto"/>
            <w:bottom w:val="none" w:sz="0" w:space="0" w:color="auto"/>
            <w:right w:val="none" w:sz="0" w:space="0" w:color="auto"/>
          </w:divBdr>
          <w:divsChild>
            <w:div w:id="2054455174">
              <w:marLeft w:val="0"/>
              <w:marRight w:val="0"/>
              <w:marTop w:val="0"/>
              <w:marBottom w:val="0"/>
              <w:divBdr>
                <w:top w:val="none" w:sz="0" w:space="0" w:color="auto"/>
                <w:left w:val="none" w:sz="0" w:space="0" w:color="auto"/>
                <w:bottom w:val="none" w:sz="0" w:space="0" w:color="auto"/>
                <w:right w:val="none" w:sz="0" w:space="0" w:color="auto"/>
              </w:divBdr>
              <w:divsChild>
                <w:div w:id="1888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7808">
      <w:bodyDiv w:val="1"/>
      <w:marLeft w:val="0"/>
      <w:marRight w:val="0"/>
      <w:marTop w:val="0"/>
      <w:marBottom w:val="0"/>
      <w:divBdr>
        <w:top w:val="none" w:sz="0" w:space="0" w:color="auto"/>
        <w:left w:val="none" w:sz="0" w:space="0" w:color="auto"/>
        <w:bottom w:val="none" w:sz="0" w:space="0" w:color="auto"/>
        <w:right w:val="none" w:sz="0" w:space="0" w:color="auto"/>
      </w:divBdr>
      <w:divsChild>
        <w:div w:id="1322155423">
          <w:marLeft w:val="0"/>
          <w:marRight w:val="0"/>
          <w:marTop w:val="0"/>
          <w:marBottom w:val="0"/>
          <w:divBdr>
            <w:top w:val="none" w:sz="0" w:space="0" w:color="auto"/>
            <w:left w:val="none" w:sz="0" w:space="0" w:color="auto"/>
            <w:bottom w:val="none" w:sz="0" w:space="0" w:color="auto"/>
            <w:right w:val="none" w:sz="0" w:space="0" w:color="auto"/>
          </w:divBdr>
          <w:divsChild>
            <w:div w:id="131101469">
              <w:marLeft w:val="0"/>
              <w:marRight w:val="0"/>
              <w:marTop w:val="0"/>
              <w:marBottom w:val="0"/>
              <w:divBdr>
                <w:top w:val="none" w:sz="0" w:space="0" w:color="auto"/>
                <w:left w:val="none" w:sz="0" w:space="0" w:color="auto"/>
                <w:bottom w:val="none" w:sz="0" w:space="0" w:color="auto"/>
                <w:right w:val="none" w:sz="0" w:space="0" w:color="auto"/>
              </w:divBdr>
              <w:divsChild>
                <w:div w:id="18756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2208">
      <w:bodyDiv w:val="1"/>
      <w:marLeft w:val="0"/>
      <w:marRight w:val="0"/>
      <w:marTop w:val="0"/>
      <w:marBottom w:val="0"/>
      <w:divBdr>
        <w:top w:val="none" w:sz="0" w:space="0" w:color="auto"/>
        <w:left w:val="none" w:sz="0" w:space="0" w:color="auto"/>
        <w:bottom w:val="none" w:sz="0" w:space="0" w:color="auto"/>
        <w:right w:val="none" w:sz="0" w:space="0" w:color="auto"/>
      </w:divBdr>
      <w:divsChild>
        <w:div w:id="2104564327">
          <w:marLeft w:val="0"/>
          <w:marRight w:val="0"/>
          <w:marTop w:val="0"/>
          <w:marBottom w:val="0"/>
          <w:divBdr>
            <w:top w:val="none" w:sz="0" w:space="0" w:color="auto"/>
            <w:left w:val="none" w:sz="0" w:space="0" w:color="auto"/>
            <w:bottom w:val="none" w:sz="0" w:space="0" w:color="auto"/>
            <w:right w:val="none" w:sz="0" w:space="0" w:color="auto"/>
          </w:divBdr>
          <w:divsChild>
            <w:div w:id="1674139757">
              <w:marLeft w:val="0"/>
              <w:marRight w:val="0"/>
              <w:marTop w:val="0"/>
              <w:marBottom w:val="0"/>
              <w:divBdr>
                <w:top w:val="none" w:sz="0" w:space="0" w:color="auto"/>
                <w:left w:val="none" w:sz="0" w:space="0" w:color="auto"/>
                <w:bottom w:val="none" w:sz="0" w:space="0" w:color="auto"/>
                <w:right w:val="none" w:sz="0" w:space="0" w:color="auto"/>
              </w:divBdr>
              <w:divsChild>
                <w:div w:id="10255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4146">
      <w:bodyDiv w:val="1"/>
      <w:marLeft w:val="0"/>
      <w:marRight w:val="0"/>
      <w:marTop w:val="0"/>
      <w:marBottom w:val="0"/>
      <w:divBdr>
        <w:top w:val="none" w:sz="0" w:space="0" w:color="auto"/>
        <w:left w:val="none" w:sz="0" w:space="0" w:color="auto"/>
        <w:bottom w:val="none" w:sz="0" w:space="0" w:color="auto"/>
        <w:right w:val="none" w:sz="0" w:space="0" w:color="auto"/>
      </w:divBdr>
      <w:divsChild>
        <w:div w:id="908922077">
          <w:marLeft w:val="0"/>
          <w:marRight w:val="0"/>
          <w:marTop w:val="0"/>
          <w:marBottom w:val="0"/>
          <w:divBdr>
            <w:top w:val="none" w:sz="0" w:space="0" w:color="auto"/>
            <w:left w:val="none" w:sz="0" w:space="0" w:color="auto"/>
            <w:bottom w:val="none" w:sz="0" w:space="0" w:color="auto"/>
            <w:right w:val="none" w:sz="0" w:space="0" w:color="auto"/>
          </w:divBdr>
          <w:divsChild>
            <w:div w:id="24185087">
              <w:marLeft w:val="0"/>
              <w:marRight w:val="0"/>
              <w:marTop w:val="0"/>
              <w:marBottom w:val="0"/>
              <w:divBdr>
                <w:top w:val="none" w:sz="0" w:space="0" w:color="auto"/>
                <w:left w:val="none" w:sz="0" w:space="0" w:color="auto"/>
                <w:bottom w:val="none" w:sz="0" w:space="0" w:color="auto"/>
                <w:right w:val="none" w:sz="0" w:space="0" w:color="auto"/>
              </w:divBdr>
              <w:divsChild>
                <w:div w:id="4600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268">
      <w:bodyDiv w:val="1"/>
      <w:marLeft w:val="0"/>
      <w:marRight w:val="0"/>
      <w:marTop w:val="0"/>
      <w:marBottom w:val="0"/>
      <w:divBdr>
        <w:top w:val="none" w:sz="0" w:space="0" w:color="auto"/>
        <w:left w:val="none" w:sz="0" w:space="0" w:color="auto"/>
        <w:bottom w:val="none" w:sz="0" w:space="0" w:color="auto"/>
        <w:right w:val="none" w:sz="0" w:space="0" w:color="auto"/>
      </w:divBdr>
    </w:div>
    <w:div w:id="2025552772">
      <w:bodyDiv w:val="1"/>
      <w:marLeft w:val="0"/>
      <w:marRight w:val="0"/>
      <w:marTop w:val="0"/>
      <w:marBottom w:val="0"/>
      <w:divBdr>
        <w:top w:val="none" w:sz="0" w:space="0" w:color="auto"/>
        <w:left w:val="none" w:sz="0" w:space="0" w:color="auto"/>
        <w:bottom w:val="none" w:sz="0" w:space="0" w:color="auto"/>
        <w:right w:val="none" w:sz="0" w:space="0" w:color="auto"/>
      </w:divBdr>
    </w:div>
    <w:div w:id="2057655386">
      <w:bodyDiv w:val="1"/>
      <w:marLeft w:val="0"/>
      <w:marRight w:val="0"/>
      <w:marTop w:val="0"/>
      <w:marBottom w:val="0"/>
      <w:divBdr>
        <w:top w:val="none" w:sz="0" w:space="0" w:color="auto"/>
        <w:left w:val="none" w:sz="0" w:space="0" w:color="auto"/>
        <w:bottom w:val="none" w:sz="0" w:space="0" w:color="auto"/>
        <w:right w:val="none" w:sz="0" w:space="0" w:color="auto"/>
      </w:divBdr>
      <w:divsChild>
        <w:div w:id="1899708770">
          <w:marLeft w:val="0"/>
          <w:marRight w:val="0"/>
          <w:marTop w:val="0"/>
          <w:marBottom w:val="0"/>
          <w:divBdr>
            <w:top w:val="none" w:sz="0" w:space="0" w:color="auto"/>
            <w:left w:val="none" w:sz="0" w:space="0" w:color="auto"/>
            <w:bottom w:val="none" w:sz="0" w:space="0" w:color="auto"/>
            <w:right w:val="none" w:sz="0" w:space="0" w:color="auto"/>
          </w:divBdr>
          <w:divsChild>
            <w:div w:id="2005664274">
              <w:marLeft w:val="0"/>
              <w:marRight w:val="0"/>
              <w:marTop w:val="0"/>
              <w:marBottom w:val="0"/>
              <w:divBdr>
                <w:top w:val="none" w:sz="0" w:space="0" w:color="auto"/>
                <w:left w:val="none" w:sz="0" w:space="0" w:color="auto"/>
                <w:bottom w:val="none" w:sz="0" w:space="0" w:color="auto"/>
                <w:right w:val="none" w:sz="0" w:space="0" w:color="auto"/>
              </w:divBdr>
              <w:divsChild>
                <w:div w:id="16769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line.sarkissian@rumeurpublique.fr" TargetMode="External"/><Relationship Id="rId18" Type="http://schemas.openxmlformats.org/officeDocument/2006/relationships/hyperlink" Target="https://www.linkedin.com/company/maza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azars.fr/Accueil/News/Publications/Etudes/Majors-du-BTP-sont-ils-armes-pour-la-crise" TargetMode="External"/><Relationship Id="rId17" Type="http://schemas.openxmlformats.org/officeDocument/2006/relationships/hyperlink" Target="https://www.mazars.fr" TargetMode="External"/><Relationship Id="rId2" Type="http://schemas.openxmlformats.org/officeDocument/2006/relationships/numbering" Target="numbering.xml"/><Relationship Id="rId16" Type="http://schemas.openxmlformats.org/officeDocument/2006/relationships/hyperlink" Target="https://www.mazars.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aurore.angeli@mazars.f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twitter.com/mazarsfr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athalie.lagos@mazars.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3EA2-E5B1-498C-AD0F-B0362787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10635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Adecco</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BTP</dc:creator>
  <cp:keywords/>
  <dc:description/>
  <cp:lastModifiedBy>GAUBERT Simon</cp:lastModifiedBy>
  <cp:revision>2</cp:revision>
  <cp:lastPrinted>2019-11-06T10:06:00Z</cp:lastPrinted>
  <dcterms:created xsi:type="dcterms:W3CDTF">2020-07-07T11:51:00Z</dcterms:created>
  <dcterms:modified xsi:type="dcterms:W3CDTF">2020-07-07T11:51:00Z</dcterms:modified>
</cp:coreProperties>
</file>