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1249C" w14:textId="77777777" w:rsidR="00970355" w:rsidRPr="00635B97" w:rsidRDefault="00A64923" w:rsidP="00970355">
      <w:pPr>
        <w:pStyle w:val="Titre1"/>
        <w:rPr>
          <w:rFonts w:eastAsia="Times New Roman"/>
          <w:b/>
          <w:bCs/>
          <w:sz w:val="20"/>
          <w:szCs w:val="20"/>
        </w:rPr>
      </w:pPr>
      <w:r w:rsidRPr="00635B97">
        <w:rPr>
          <w:rFonts w:eastAsia="Times New Roman"/>
          <w:b/>
          <w:bCs/>
          <w:sz w:val="20"/>
          <w:szCs w:val="20"/>
        </w:rPr>
        <w:t>Communiqué de</w:t>
      </w:r>
      <w:r w:rsidR="009F49FF" w:rsidRPr="00635B97">
        <w:rPr>
          <w:rFonts w:eastAsia="Times New Roman"/>
          <w:b/>
          <w:bCs/>
          <w:sz w:val="20"/>
          <w:szCs w:val="20"/>
        </w:rPr>
        <w:t xml:space="preserve"> </w:t>
      </w:r>
      <w:r w:rsidR="00CC3D17" w:rsidRPr="00635B97">
        <w:rPr>
          <w:rFonts w:eastAsia="Times New Roman"/>
          <w:b/>
          <w:bCs/>
          <w:sz w:val="20"/>
          <w:szCs w:val="20"/>
        </w:rPr>
        <w:t>Presse</w:t>
      </w:r>
    </w:p>
    <w:p w14:paraId="3D4649A4" w14:textId="029F3A93" w:rsidR="00F50824" w:rsidRDefault="004F37FE" w:rsidP="000221ED">
      <w:pPr>
        <w:spacing w:before="120"/>
        <w:ind w:right="23"/>
        <w:rPr>
          <w:rFonts w:ascii="Arial" w:hAnsi="Arial" w:cs="Arial"/>
          <w:sz w:val="20"/>
          <w:szCs w:val="20"/>
        </w:rPr>
      </w:pPr>
      <w:r>
        <w:rPr>
          <w:rFonts w:ascii="Arial" w:hAnsi="Arial" w:cs="Arial"/>
          <w:sz w:val="20"/>
          <w:szCs w:val="20"/>
        </w:rPr>
        <w:t>Paris</w:t>
      </w:r>
      <w:r w:rsidRPr="00635B97">
        <w:rPr>
          <w:rFonts w:ascii="Arial" w:hAnsi="Arial" w:cs="Arial"/>
          <w:sz w:val="20"/>
          <w:szCs w:val="20"/>
        </w:rPr>
        <w:t>, le</w:t>
      </w:r>
      <w:r w:rsidR="002E2BCA">
        <w:rPr>
          <w:rFonts w:ascii="Arial" w:hAnsi="Arial" w:cs="Arial"/>
          <w:sz w:val="20"/>
          <w:szCs w:val="20"/>
        </w:rPr>
        <w:t xml:space="preserve"> </w:t>
      </w:r>
      <w:r w:rsidR="00D609A6">
        <w:rPr>
          <w:rFonts w:ascii="Arial" w:hAnsi="Arial" w:cs="Arial"/>
          <w:sz w:val="20"/>
          <w:szCs w:val="20"/>
        </w:rPr>
        <w:t>19</w:t>
      </w:r>
      <w:r w:rsidR="00B365BB">
        <w:rPr>
          <w:rFonts w:ascii="Arial" w:hAnsi="Arial" w:cs="Arial"/>
          <w:sz w:val="20"/>
          <w:szCs w:val="20"/>
        </w:rPr>
        <w:t xml:space="preserve"> </w:t>
      </w:r>
      <w:r w:rsidR="00A631EC">
        <w:rPr>
          <w:rFonts w:ascii="Arial" w:hAnsi="Arial" w:cs="Arial"/>
          <w:sz w:val="20"/>
          <w:szCs w:val="20"/>
        </w:rPr>
        <w:t>novembre</w:t>
      </w:r>
      <w:r w:rsidR="00201080">
        <w:rPr>
          <w:rFonts w:ascii="Arial" w:hAnsi="Arial" w:cs="Arial"/>
          <w:sz w:val="20"/>
          <w:szCs w:val="20"/>
        </w:rPr>
        <w:t xml:space="preserve"> 2019</w:t>
      </w:r>
      <w:r w:rsidR="000C6237">
        <w:rPr>
          <w:rFonts w:ascii="Arial" w:hAnsi="Arial" w:cs="Arial"/>
          <w:sz w:val="20"/>
          <w:szCs w:val="20"/>
        </w:rPr>
        <w:t xml:space="preserve"> </w:t>
      </w:r>
    </w:p>
    <w:p w14:paraId="4C83F1AB" w14:textId="77777777" w:rsidR="00550269" w:rsidRDefault="00550269" w:rsidP="00363762">
      <w:pPr>
        <w:pStyle w:val="Sansinterligne"/>
        <w:spacing w:after="120"/>
        <w:jc w:val="center"/>
        <w:rPr>
          <w:rFonts w:ascii="Arial" w:hAnsi="Arial" w:cs="Arial"/>
          <w:b/>
        </w:rPr>
      </w:pPr>
    </w:p>
    <w:p w14:paraId="7CDB05D5" w14:textId="77777777" w:rsidR="005D3B50" w:rsidRPr="00B97906" w:rsidRDefault="00A631EC" w:rsidP="00363762">
      <w:pPr>
        <w:pStyle w:val="Sansinterligne"/>
        <w:spacing w:after="120"/>
        <w:jc w:val="center"/>
        <w:rPr>
          <w:rFonts w:ascii="Arial" w:hAnsi="Arial" w:cs="Arial"/>
          <w:b/>
        </w:rPr>
      </w:pPr>
      <w:bookmarkStart w:id="0" w:name="_Hlk525663708"/>
      <w:r>
        <w:rPr>
          <w:rFonts w:ascii="Arial" w:hAnsi="Arial" w:cs="Arial"/>
          <w:b/>
        </w:rPr>
        <w:t>Pour la 1</w:t>
      </w:r>
      <w:r w:rsidRPr="00A631EC">
        <w:rPr>
          <w:rFonts w:ascii="Arial" w:hAnsi="Arial" w:cs="Arial"/>
          <w:b/>
          <w:vertAlign w:val="superscript"/>
        </w:rPr>
        <w:t>ère</w:t>
      </w:r>
      <w:r>
        <w:rPr>
          <w:rFonts w:ascii="Arial" w:hAnsi="Arial" w:cs="Arial"/>
          <w:b/>
        </w:rPr>
        <w:t xml:space="preserve"> fois, 3 français dans le Top 4 </w:t>
      </w:r>
      <w:r w:rsidR="001C6B0A">
        <w:rPr>
          <w:rFonts w:ascii="Arial" w:hAnsi="Arial" w:cs="Arial"/>
          <w:b/>
        </w:rPr>
        <w:t xml:space="preserve">des majors </w:t>
      </w:r>
      <w:r>
        <w:rPr>
          <w:rFonts w:ascii="Arial" w:hAnsi="Arial" w:cs="Arial"/>
          <w:b/>
        </w:rPr>
        <w:t>européen</w:t>
      </w:r>
      <w:r w:rsidR="001C6B0A">
        <w:rPr>
          <w:rFonts w:ascii="Arial" w:hAnsi="Arial" w:cs="Arial"/>
          <w:b/>
        </w:rPr>
        <w:t>s du BTP</w:t>
      </w:r>
    </w:p>
    <w:bookmarkEnd w:id="0"/>
    <w:p w14:paraId="797BBEFA" w14:textId="77777777" w:rsidR="00550269" w:rsidRPr="00625471" w:rsidRDefault="00592E94" w:rsidP="00CF738F">
      <w:pPr>
        <w:jc w:val="center"/>
        <w:rPr>
          <w:rFonts w:ascii="Arial" w:hAnsi="Arial" w:cs="Arial"/>
          <w:b/>
          <w:bCs/>
          <w:i/>
        </w:rPr>
      </w:pPr>
      <w:r w:rsidRPr="00625471">
        <w:rPr>
          <w:rFonts w:ascii="Arial" w:hAnsi="Arial" w:cs="Arial"/>
          <w:b/>
          <w:bCs/>
          <w:i/>
        </w:rPr>
        <w:t>Etude</w:t>
      </w:r>
      <w:r w:rsidR="00000894" w:rsidRPr="00625471">
        <w:rPr>
          <w:rFonts w:ascii="Arial" w:hAnsi="Arial" w:cs="Arial"/>
          <w:b/>
          <w:bCs/>
          <w:i/>
        </w:rPr>
        <w:t xml:space="preserve"> </w:t>
      </w:r>
      <w:r w:rsidR="003970B1" w:rsidRPr="00625471">
        <w:rPr>
          <w:rFonts w:ascii="Arial" w:hAnsi="Arial" w:cs="Arial"/>
          <w:b/>
          <w:bCs/>
          <w:i/>
        </w:rPr>
        <w:t xml:space="preserve">Mazars </w:t>
      </w:r>
      <w:bookmarkStart w:id="1" w:name="_Hlk527395251"/>
      <w:r w:rsidR="00000894" w:rsidRPr="00625471">
        <w:rPr>
          <w:rFonts w:ascii="Arial" w:hAnsi="Arial" w:cs="Arial"/>
          <w:b/>
          <w:bCs/>
          <w:i/>
        </w:rPr>
        <w:t>« </w:t>
      </w:r>
      <w:r w:rsidR="0061761A">
        <w:rPr>
          <w:rFonts w:ascii="Arial" w:hAnsi="Arial" w:cs="Arial"/>
          <w:b/>
          <w:bCs/>
          <w:i/>
        </w:rPr>
        <w:t xml:space="preserve">Les majors européens </w:t>
      </w:r>
      <w:r w:rsidR="00201080">
        <w:rPr>
          <w:rFonts w:ascii="Arial" w:hAnsi="Arial" w:cs="Arial"/>
          <w:b/>
          <w:bCs/>
          <w:i/>
        </w:rPr>
        <w:t>du BTP : un marché sous pression ?</w:t>
      </w:r>
      <w:r w:rsidR="00253FDD" w:rsidRPr="00625471">
        <w:rPr>
          <w:rFonts w:ascii="Arial" w:hAnsi="Arial" w:cs="Arial"/>
          <w:b/>
          <w:bCs/>
          <w:i/>
        </w:rPr>
        <w:t xml:space="preserve"> </w:t>
      </w:r>
      <w:r w:rsidR="00F97294" w:rsidRPr="00625471">
        <w:rPr>
          <w:rFonts w:ascii="Arial" w:hAnsi="Arial" w:cs="Arial"/>
          <w:b/>
          <w:bCs/>
          <w:i/>
        </w:rPr>
        <w:t>»</w:t>
      </w:r>
      <w:bookmarkEnd w:id="1"/>
    </w:p>
    <w:p w14:paraId="1B5A6DBD" w14:textId="77777777" w:rsidR="00550269" w:rsidRPr="00625471" w:rsidRDefault="00550269" w:rsidP="00957894">
      <w:pPr>
        <w:jc w:val="both"/>
        <w:rPr>
          <w:rFonts w:ascii="Arial" w:hAnsi="Arial" w:cs="Arial"/>
          <w:b/>
          <w:bCs/>
          <w:i/>
        </w:rPr>
      </w:pPr>
      <w:bookmarkStart w:id="2" w:name="_Hlk516583884"/>
    </w:p>
    <w:bookmarkEnd w:id="2"/>
    <w:p w14:paraId="7730BB4E" w14:textId="17EFEFF7" w:rsidR="00813DF0" w:rsidRDefault="00D91963" w:rsidP="009500A0">
      <w:pPr>
        <w:jc w:val="both"/>
        <w:rPr>
          <w:rFonts w:asciiTheme="minorHAnsi" w:hAnsiTheme="minorHAnsi" w:cstheme="minorHAnsi"/>
          <w:b/>
          <w:bCs/>
          <w:sz w:val="20"/>
          <w:szCs w:val="20"/>
          <w:lang w:eastAsia="en-US"/>
        </w:rPr>
      </w:pPr>
      <w:r>
        <w:rPr>
          <w:rFonts w:asciiTheme="minorHAnsi" w:hAnsiTheme="minorHAnsi" w:cstheme="minorHAnsi"/>
          <w:b/>
          <w:bCs/>
          <w:sz w:val="20"/>
          <w:szCs w:val="20"/>
          <w:lang w:eastAsia="en-US"/>
        </w:rPr>
        <w:t>L</w:t>
      </w:r>
      <w:r w:rsidR="00152A61" w:rsidRPr="00152A61">
        <w:rPr>
          <w:rFonts w:asciiTheme="minorHAnsi" w:hAnsiTheme="minorHAnsi" w:cstheme="minorHAnsi"/>
          <w:b/>
          <w:bCs/>
          <w:sz w:val="20"/>
          <w:szCs w:val="20"/>
          <w:lang w:eastAsia="en-US"/>
        </w:rPr>
        <w:t>es majors européens du BTP se démarqu</w:t>
      </w:r>
      <w:r w:rsidR="003445A2">
        <w:rPr>
          <w:rFonts w:asciiTheme="minorHAnsi" w:hAnsiTheme="minorHAnsi" w:cstheme="minorHAnsi"/>
          <w:b/>
          <w:bCs/>
          <w:sz w:val="20"/>
          <w:szCs w:val="20"/>
          <w:lang w:eastAsia="en-US"/>
        </w:rPr>
        <w:t>ent</w:t>
      </w:r>
      <w:r w:rsidR="00152A61" w:rsidRPr="00152A61">
        <w:rPr>
          <w:rFonts w:asciiTheme="minorHAnsi" w:hAnsiTheme="minorHAnsi" w:cstheme="minorHAnsi"/>
          <w:b/>
          <w:bCs/>
          <w:sz w:val="20"/>
          <w:szCs w:val="20"/>
          <w:lang w:eastAsia="en-US"/>
        </w:rPr>
        <w:t xml:space="preserve"> en 2018 avec une croissance qui dépasse +6% pour la seconde année consécutive, et atteint +9% pour les groupes français. </w:t>
      </w:r>
      <w:r w:rsidRPr="00D91963">
        <w:rPr>
          <w:rFonts w:asciiTheme="minorHAnsi" w:hAnsiTheme="minorHAnsi" w:cstheme="minorHAnsi"/>
          <w:b/>
          <w:bCs/>
          <w:sz w:val="20"/>
          <w:szCs w:val="20"/>
          <w:lang w:eastAsia="en-US"/>
        </w:rPr>
        <w:t>Ces performances sont à analyser à la lumière de certaines tensions sur les taux de marge et de contrastes entre régions et activités</w:t>
      </w:r>
      <w:r w:rsidR="00152A61" w:rsidRPr="00152A61">
        <w:rPr>
          <w:rFonts w:asciiTheme="minorHAnsi" w:hAnsiTheme="minorHAnsi" w:cstheme="minorHAnsi"/>
          <w:b/>
          <w:bCs/>
          <w:sz w:val="20"/>
          <w:szCs w:val="20"/>
          <w:lang w:eastAsia="en-US"/>
        </w:rPr>
        <w:t xml:space="preserve">. </w:t>
      </w:r>
      <w:r w:rsidR="00B0225E" w:rsidRPr="00BF16DD">
        <w:rPr>
          <w:rFonts w:asciiTheme="minorHAnsi" w:hAnsiTheme="minorHAnsi" w:cstheme="minorHAnsi"/>
          <w:b/>
          <w:bCs/>
          <w:sz w:val="20"/>
          <w:szCs w:val="20"/>
          <w:lang w:eastAsia="en-US"/>
        </w:rPr>
        <w:t xml:space="preserve">Tel est l’un des </w:t>
      </w:r>
      <w:r w:rsidR="00CC34D0" w:rsidRPr="00BF16DD">
        <w:rPr>
          <w:rFonts w:asciiTheme="minorHAnsi" w:hAnsiTheme="minorHAnsi" w:cstheme="minorHAnsi"/>
          <w:b/>
          <w:bCs/>
          <w:sz w:val="20"/>
          <w:szCs w:val="20"/>
          <w:lang w:eastAsia="en-US"/>
        </w:rPr>
        <w:t>principaux</w:t>
      </w:r>
      <w:r w:rsidR="003E64E2" w:rsidRPr="00BF16DD">
        <w:rPr>
          <w:rFonts w:asciiTheme="minorHAnsi" w:hAnsiTheme="minorHAnsi" w:cstheme="minorHAnsi"/>
          <w:b/>
          <w:bCs/>
          <w:sz w:val="20"/>
          <w:szCs w:val="20"/>
          <w:lang w:eastAsia="en-US"/>
        </w:rPr>
        <w:t xml:space="preserve"> enseignements</w:t>
      </w:r>
      <w:r w:rsidR="00B0225E" w:rsidRPr="00BF16DD">
        <w:rPr>
          <w:rFonts w:asciiTheme="minorHAnsi" w:hAnsiTheme="minorHAnsi" w:cstheme="minorHAnsi"/>
          <w:b/>
          <w:bCs/>
          <w:sz w:val="20"/>
          <w:szCs w:val="20"/>
          <w:lang w:eastAsia="en-US"/>
        </w:rPr>
        <w:t xml:space="preserve"> de l’étude Mazars consacré</w:t>
      </w:r>
      <w:r w:rsidR="003E64E2" w:rsidRPr="00BF16DD">
        <w:rPr>
          <w:rFonts w:asciiTheme="minorHAnsi" w:hAnsiTheme="minorHAnsi" w:cstheme="minorHAnsi"/>
          <w:b/>
          <w:bCs/>
          <w:sz w:val="20"/>
          <w:szCs w:val="20"/>
          <w:lang w:eastAsia="en-US"/>
        </w:rPr>
        <w:t>e</w:t>
      </w:r>
      <w:r w:rsidR="00B0225E" w:rsidRPr="00BF16DD">
        <w:rPr>
          <w:rFonts w:asciiTheme="minorHAnsi" w:hAnsiTheme="minorHAnsi" w:cstheme="minorHAnsi"/>
          <w:b/>
          <w:bCs/>
          <w:sz w:val="20"/>
          <w:szCs w:val="20"/>
          <w:lang w:eastAsia="en-US"/>
        </w:rPr>
        <w:t xml:space="preserve"> au secteur du BTP</w:t>
      </w:r>
      <w:r w:rsidR="009752C8" w:rsidRPr="00BF16DD">
        <w:rPr>
          <w:rFonts w:asciiTheme="minorHAnsi" w:hAnsiTheme="minorHAnsi" w:cstheme="minorHAnsi"/>
          <w:b/>
          <w:bCs/>
          <w:sz w:val="20"/>
          <w:szCs w:val="20"/>
          <w:lang w:eastAsia="en-US"/>
        </w:rPr>
        <w:t>.</w:t>
      </w:r>
      <w:r w:rsidR="003E64E2" w:rsidRPr="00BF16DD">
        <w:rPr>
          <w:rFonts w:asciiTheme="minorHAnsi" w:hAnsiTheme="minorHAnsi" w:cstheme="minorHAnsi"/>
          <w:b/>
          <w:bCs/>
          <w:sz w:val="20"/>
          <w:szCs w:val="20"/>
          <w:lang w:eastAsia="en-US"/>
        </w:rPr>
        <w:t xml:space="preserve"> L’acteur international d’audit et de conseil</w:t>
      </w:r>
      <w:r w:rsidR="009752C8" w:rsidRPr="00BF16DD">
        <w:rPr>
          <w:rFonts w:asciiTheme="minorHAnsi" w:hAnsiTheme="minorHAnsi" w:cstheme="minorHAnsi"/>
          <w:b/>
          <w:bCs/>
          <w:sz w:val="20"/>
          <w:szCs w:val="20"/>
          <w:lang w:eastAsia="en-US"/>
        </w:rPr>
        <w:t xml:space="preserve"> </w:t>
      </w:r>
      <w:r w:rsidR="003E64E2" w:rsidRPr="00BF16DD">
        <w:rPr>
          <w:rFonts w:asciiTheme="minorHAnsi" w:hAnsiTheme="minorHAnsi" w:cstheme="minorHAnsi"/>
          <w:b/>
          <w:bCs/>
          <w:sz w:val="20"/>
          <w:szCs w:val="20"/>
          <w:lang w:eastAsia="en-US"/>
        </w:rPr>
        <w:t xml:space="preserve">a analysé l’activité des groupes </w:t>
      </w:r>
      <w:r w:rsidR="00A7700E" w:rsidRPr="00BF16DD">
        <w:rPr>
          <w:rFonts w:asciiTheme="minorHAnsi" w:hAnsiTheme="minorHAnsi" w:cstheme="minorHAnsi"/>
          <w:b/>
          <w:bCs/>
          <w:sz w:val="20"/>
          <w:szCs w:val="20"/>
          <w:lang w:eastAsia="en-US"/>
        </w:rPr>
        <w:t>européens</w:t>
      </w:r>
      <w:r w:rsidR="00A53977">
        <w:rPr>
          <w:rFonts w:asciiTheme="minorHAnsi" w:hAnsiTheme="minorHAnsi" w:cstheme="minorHAnsi"/>
          <w:b/>
          <w:bCs/>
          <w:sz w:val="20"/>
          <w:szCs w:val="20"/>
          <w:lang w:eastAsia="en-US"/>
        </w:rPr>
        <w:t xml:space="preserve"> </w:t>
      </w:r>
      <w:proofErr w:type="spellStart"/>
      <w:r>
        <w:rPr>
          <w:rFonts w:asciiTheme="minorHAnsi" w:hAnsiTheme="minorHAnsi" w:cstheme="minorHAnsi"/>
          <w:b/>
          <w:bCs/>
          <w:sz w:val="20"/>
          <w:szCs w:val="20"/>
          <w:lang w:eastAsia="en-US"/>
        </w:rPr>
        <w:t>c</w:t>
      </w:r>
      <w:r w:rsidR="00194DE2">
        <w:rPr>
          <w:rFonts w:asciiTheme="minorHAnsi" w:hAnsiTheme="minorHAnsi" w:cstheme="minorHAnsi"/>
          <w:b/>
          <w:bCs/>
          <w:sz w:val="20"/>
          <w:szCs w:val="20"/>
          <w:lang w:eastAsia="en-US"/>
        </w:rPr>
        <w:t>o</w:t>
      </w:r>
      <w:r>
        <w:rPr>
          <w:rFonts w:asciiTheme="minorHAnsi" w:hAnsiTheme="minorHAnsi" w:cstheme="minorHAnsi"/>
          <w:b/>
          <w:bCs/>
          <w:sz w:val="20"/>
          <w:szCs w:val="20"/>
          <w:lang w:eastAsia="en-US"/>
        </w:rPr>
        <w:t>tés</w:t>
      </w:r>
      <w:proofErr w:type="spellEnd"/>
      <w:r w:rsidR="003E64E2" w:rsidRPr="00BF16DD">
        <w:rPr>
          <w:rFonts w:asciiTheme="minorHAnsi" w:hAnsiTheme="minorHAnsi" w:cstheme="minorHAnsi"/>
          <w:b/>
          <w:bCs/>
          <w:sz w:val="20"/>
          <w:szCs w:val="20"/>
          <w:lang w:eastAsia="en-US"/>
        </w:rPr>
        <w:t xml:space="preserve">, pure </w:t>
      </w:r>
      <w:proofErr w:type="spellStart"/>
      <w:r w:rsidR="003E64E2" w:rsidRPr="00BF16DD">
        <w:rPr>
          <w:rFonts w:asciiTheme="minorHAnsi" w:hAnsiTheme="minorHAnsi" w:cstheme="minorHAnsi"/>
          <w:b/>
          <w:bCs/>
          <w:sz w:val="20"/>
          <w:szCs w:val="20"/>
          <w:lang w:eastAsia="en-US"/>
        </w:rPr>
        <w:t>players</w:t>
      </w:r>
      <w:proofErr w:type="spellEnd"/>
      <w:r w:rsidR="003E64E2" w:rsidRPr="00BF16DD">
        <w:rPr>
          <w:rFonts w:asciiTheme="minorHAnsi" w:hAnsiTheme="minorHAnsi" w:cstheme="minorHAnsi"/>
          <w:b/>
          <w:bCs/>
          <w:sz w:val="20"/>
          <w:szCs w:val="20"/>
          <w:lang w:eastAsia="en-US"/>
        </w:rPr>
        <w:t xml:space="preserve"> ou acteurs </w:t>
      </w:r>
      <w:r w:rsidRPr="00BF16DD">
        <w:rPr>
          <w:rFonts w:asciiTheme="minorHAnsi" w:hAnsiTheme="minorHAnsi" w:cstheme="minorHAnsi"/>
          <w:b/>
          <w:bCs/>
          <w:sz w:val="20"/>
          <w:szCs w:val="20"/>
          <w:lang w:eastAsia="en-US"/>
        </w:rPr>
        <w:t>diversifiés</w:t>
      </w:r>
      <w:r w:rsidR="003E64E2" w:rsidRPr="00BF16DD">
        <w:rPr>
          <w:rFonts w:asciiTheme="minorHAnsi" w:hAnsiTheme="minorHAnsi" w:cstheme="minorHAnsi"/>
          <w:b/>
          <w:bCs/>
          <w:sz w:val="20"/>
          <w:szCs w:val="20"/>
          <w:lang w:eastAsia="en-US"/>
        </w:rPr>
        <w:t xml:space="preserve"> autour des </w:t>
      </w:r>
      <w:r w:rsidRPr="00BF16DD">
        <w:rPr>
          <w:rFonts w:asciiTheme="minorHAnsi" w:hAnsiTheme="minorHAnsi" w:cstheme="minorHAnsi"/>
          <w:b/>
          <w:bCs/>
          <w:sz w:val="20"/>
          <w:szCs w:val="20"/>
          <w:lang w:eastAsia="en-US"/>
        </w:rPr>
        <w:t>métiers</w:t>
      </w:r>
      <w:r w:rsidR="003E64E2" w:rsidRPr="00BF16DD">
        <w:rPr>
          <w:rFonts w:asciiTheme="minorHAnsi" w:hAnsiTheme="minorHAnsi" w:cstheme="minorHAnsi"/>
          <w:b/>
          <w:bCs/>
          <w:sz w:val="20"/>
          <w:szCs w:val="20"/>
          <w:lang w:eastAsia="en-US"/>
        </w:rPr>
        <w:t xml:space="preserve"> de la construction, dont le chiffre d’affaires consolidé est </w:t>
      </w:r>
      <w:r w:rsidRPr="00BF16DD">
        <w:rPr>
          <w:rFonts w:asciiTheme="minorHAnsi" w:hAnsiTheme="minorHAnsi" w:cstheme="minorHAnsi"/>
          <w:b/>
          <w:bCs/>
          <w:sz w:val="20"/>
          <w:szCs w:val="20"/>
          <w:lang w:eastAsia="en-US"/>
        </w:rPr>
        <w:t>supérieur</w:t>
      </w:r>
      <w:r w:rsidR="003E64E2" w:rsidRPr="00BF16DD">
        <w:rPr>
          <w:rFonts w:asciiTheme="minorHAnsi" w:hAnsiTheme="minorHAnsi" w:cstheme="minorHAnsi"/>
          <w:b/>
          <w:bCs/>
          <w:sz w:val="20"/>
          <w:szCs w:val="20"/>
          <w:lang w:eastAsia="en-US"/>
        </w:rPr>
        <w:t xml:space="preserve"> </w:t>
      </w:r>
      <w:proofErr w:type="spellStart"/>
      <w:r w:rsidR="003E64E2" w:rsidRPr="00BF16DD">
        <w:rPr>
          <w:rFonts w:asciiTheme="minorHAnsi" w:hAnsiTheme="minorHAnsi" w:cstheme="minorHAnsi"/>
          <w:b/>
          <w:bCs/>
          <w:sz w:val="20"/>
          <w:szCs w:val="20"/>
          <w:lang w:eastAsia="en-US"/>
        </w:rPr>
        <w:t>a</w:t>
      </w:r>
      <w:proofErr w:type="spellEnd"/>
      <w:r w:rsidR="003E64E2" w:rsidRPr="00BF16DD">
        <w:rPr>
          <w:rFonts w:asciiTheme="minorHAnsi" w:hAnsiTheme="minorHAnsi" w:cstheme="minorHAnsi"/>
          <w:b/>
          <w:bCs/>
          <w:sz w:val="20"/>
          <w:szCs w:val="20"/>
          <w:lang w:eastAsia="en-US"/>
        </w:rPr>
        <w:t>̀ 5 Md€, soit 17 groupes.</w:t>
      </w:r>
      <w:r>
        <w:rPr>
          <w:rFonts w:asciiTheme="minorHAnsi" w:hAnsiTheme="minorHAnsi" w:cstheme="minorHAnsi"/>
          <w:b/>
          <w:bCs/>
          <w:sz w:val="20"/>
          <w:szCs w:val="20"/>
          <w:lang w:eastAsia="en-US"/>
        </w:rPr>
        <w:t xml:space="preserve"> En outre</w:t>
      </w:r>
      <w:r w:rsidR="00EB1711">
        <w:rPr>
          <w:rFonts w:asciiTheme="minorHAnsi" w:hAnsiTheme="minorHAnsi" w:cstheme="minorHAnsi"/>
          <w:b/>
          <w:bCs/>
          <w:sz w:val="20"/>
          <w:szCs w:val="20"/>
          <w:lang w:eastAsia="en-US"/>
        </w:rPr>
        <w:t>,</w:t>
      </w:r>
      <w:r>
        <w:rPr>
          <w:rFonts w:asciiTheme="minorHAnsi" w:hAnsiTheme="minorHAnsi" w:cstheme="minorHAnsi"/>
          <w:b/>
          <w:bCs/>
          <w:sz w:val="20"/>
          <w:szCs w:val="20"/>
          <w:lang w:eastAsia="en-US"/>
        </w:rPr>
        <w:t xml:space="preserve"> l’étude propose une analyse des performances de ces groupes par secteur d’activité.</w:t>
      </w:r>
    </w:p>
    <w:p w14:paraId="238EA2C3" w14:textId="77777777" w:rsidR="009500A0" w:rsidRDefault="009500A0" w:rsidP="009500A0">
      <w:pPr>
        <w:jc w:val="both"/>
        <w:rPr>
          <w:rFonts w:asciiTheme="minorHAnsi" w:hAnsiTheme="minorHAnsi" w:cstheme="minorHAnsi"/>
          <w:b/>
          <w:bCs/>
          <w:sz w:val="20"/>
          <w:szCs w:val="20"/>
          <w:lang w:eastAsia="en-US"/>
        </w:rPr>
      </w:pPr>
    </w:p>
    <w:p w14:paraId="3206DD65" w14:textId="77777777" w:rsidR="009500A0" w:rsidRDefault="009500A0" w:rsidP="009500A0">
      <w:pPr>
        <w:jc w:val="both"/>
        <w:rPr>
          <w:rFonts w:asciiTheme="minorHAnsi" w:hAnsiTheme="minorHAnsi" w:cstheme="minorHAnsi"/>
          <w:b/>
          <w:bCs/>
          <w:sz w:val="20"/>
          <w:szCs w:val="20"/>
          <w:lang w:eastAsia="en-US"/>
        </w:rPr>
      </w:pPr>
    </w:p>
    <w:p w14:paraId="4C683B44" w14:textId="77777777" w:rsidR="00813DF0" w:rsidRDefault="00813DF0" w:rsidP="009500A0">
      <w:pPr>
        <w:jc w:val="both"/>
        <w:rPr>
          <w:rFonts w:asciiTheme="minorHAnsi" w:hAnsiTheme="minorHAnsi" w:cstheme="minorHAnsi"/>
          <w:b/>
          <w:bCs/>
          <w:sz w:val="20"/>
          <w:szCs w:val="20"/>
          <w:lang w:eastAsia="en-US"/>
        </w:rPr>
      </w:pPr>
      <w:r w:rsidRPr="00813DF0">
        <w:rPr>
          <w:rFonts w:asciiTheme="minorHAnsi" w:hAnsiTheme="minorHAnsi" w:cstheme="minorHAnsi"/>
          <w:b/>
          <w:bCs/>
          <w:sz w:val="20"/>
          <w:szCs w:val="20"/>
          <w:lang w:eastAsia="en-US"/>
        </w:rPr>
        <w:t>Les majors français surperforment </w:t>
      </w:r>
      <w:r w:rsidRPr="00E16CD6">
        <w:rPr>
          <w:rFonts w:asciiTheme="minorHAnsi" w:hAnsiTheme="minorHAnsi" w:cstheme="minorHAnsi"/>
          <w:b/>
          <w:bCs/>
          <w:sz w:val="20"/>
          <w:szCs w:val="20"/>
          <w:lang w:eastAsia="en-US"/>
        </w:rPr>
        <w:t>le marché de la construction en Europe</w:t>
      </w:r>
    </w:p>
    <w:p w14:paraId="55B675CB" w14:textId="77777777" w:rsidR="00EC0B5A" w:rsidRDefault="00EC0B5A" w:rsidP="00EC0B5A">
      <w:pPr>
        <w:jc w:val="both"/>
        <w:rPr>
          <w:rFonts w:asciiTheme="minorHAnsi" w:hAnsiTheme="minorHAnsi" w:cstheme="minorHAnsi"/>
          <w:sz w:val="20"/>
          <w:szCs w:val="20"/>
          <w:lang w:eastAsia="en-US"/>
        </w:rPr>
      </w:pPr>
    </w:p>
    <w:p w14:paraId="53D1E1A2" w14:textId="77777777" w:rsidR="002F3E7E" w:rsidRPr="009500A0" w:rsidRDefault="002F3E7E" w:rsidP="00EC0B5A">
      <w:pPr>
        <w:jc w:val="both"/>
        <w:rPr>
          <w:rFonts w:asciiTheme="minorHAnsi" w:hAnsiTheme="minorHAnsi" w:cstheme="minorHAnsi"/>
          <w:b/>
          <w:bCs/>
          <w:sz w:val="20"/>
          <w:szCs w:val="20"/>
          <w:lang w:eastAsia="en-US"/>
        </w:rPr>
      </w:pPr>
      <w:r w:rsidRPr="009500A0">
        <w:rPr>
          <w:rFonts w:asciiTheme="minorHAnsi" w:hAnsiTheme="minorHAnsi" w:cstheme="minorHAnsi"/>
          <w:sz w:val="20"/>
          <w:szCs w:val="20"/>
          <w:lang w:eastAsia="en-US"/>
        </w:rPr>
        <w:t xml:space="preserve">Au sein d’un marché contrasté </w:t>
      </w:r>
      <w:r>
        <w:rPr>
          <w:rFonts w:asciiTheme="minorHAnsi" w:hAnsiTheme="minorHAnsi" w:cstheme="minorHAnsi"/>
          <w:sz w:val="20"/>
          <w:szCs w:val="20"/>
          <w:lang w:eastAsia="en-US"/>
        </w:rPr>
        <w:t>et</w:t>
      </w:r>
      <w:r w:rsidR="00C804D5">
        <w:rPr>
          <w:rFonts w:asciiTheme="minorHAnsi" w:hAnsiTheme="minorHAnsi" w:cstheme="minorHAnsi"/>
          <w:sz w:val="20"/>
          <w:szCs w:val="20"/>
          <w:lang w:eastAsia="en-US"/>
        </w:rPr>
        <w:t xml:space="preserve"> sous pression</w:t>
      </w:r>
      <w:r w:rsidRPr="00C320E0">
        <w:rPr>
          <w:rFonts w:asciiTheme="minorHAnsi" w:hAnsiTheme="minorHAnsi" w:cstheme="minorHAnsi"/>
          <w:sz w:val="20"/>
          <w:szCs w:val="20"/>
          <w:lang w:eastAsia="en-US"/>
        </w:rPr>
        <w:t>, les groupes français se distinguent de nouveau avec une croissance de leur activité de 9%, soit près de 3 points au-dessus de la moyenne du panel, et une meilleure tenue de leur taux de marge</w:t>
      </w:r>
      <w:r w:rsidR="00F33712">
        <w:rPr>
          <w:rFonts w:asciiTheme="minorHAnsi" w:hAnsiTheme="minorHAnsi" w:cstheme="minorHAnsi"/>
          <w:sz w:val="20"/>
          <w:szCs w:val="20"/>
          <w:lang w:eastAsia="en-US"/>
        </w:rPr>
        <w:t xml:space="preserve">, </w:t>
      </w:r>
      <w:r w:rsidRPr="009500A0">
        <w:rPr>
          <w:rFonts w:asciiTheme="minorHAnsi" w:hAnsiTheme="minorHAnsi" w:cstheme="minorHAnsi"/>
          <w:sz w:val="20"/>
          <w:szCs w:val="20"/>
          <w:lang w:eastAsia="en-US"/>
        </w:rPr>
        <w:t>en légère baisse de -0,2 point</w:t>
      </w:r>
      <w:r w:rsidRPr="00C320E0">
        <w:rPr>
          <w:rFonts w:asciiTheme="minorHAnsi" w:hAnsiTheme="minorHAnsi" w:cstheme="minorHAnsi"/>
          <w:sz w:val="20"/>
          <w:szCs w:val="20"/>
          <w:lang w:eastAsia="en-US"/>
        </w:rPr>
        <w:t>.</w:t>
      </w:r>
    </w:p>
    <w:p w14:paraId="35C9EB7A" w14:textId="77777777" w:rsidR="004C77D4" w:rsidRDefault="004C77D4" w:rsidP="005E558E">
      <w:pPr>
        <w:autoSpaceDE w:val="0"/>
        <w:autoSpaceDN w:val="0"/>
        <w:adjustRightInd w:val="0"/>
        <w:rPr>
          <w:rFonts w:asciiTheme="minorHAnsi" w:hAnsiTheme="minorHAnsi" w:cstheme="minorHAnsi"/>
          <w:sz w:val="20"/>
          <w:szCs w:val="20"/>
          <w:lang w:eastAsia="en-US"/>
        </w:rPr>
      </w:pPr>
    </w:p>
    <w:p w14:paraId="1E5B892E" w14:textId="77777777" w:rsidR="005E558E" w:rsidRDefault="004C77D4" w:rsidP="000A7413">
      <w:pPr>
        <w:autoSpaceDE w:val="0"/>
        <w:autoSpaceDN w:val="0"/>
        <w:adjustRightInd w:val="0"/>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3 </w:t>
      </w:r>
      <w:r w:rsidRPr="009500A0">
        <w:rPr>
          <w:rFonts w:asciiTheme="minorHAnsi" w:hAnsiTheme="minorHAnsi" w:cstheme="minorHAnsi"/>
          <w:sz w:val="20"/>
          <w:szCs w:val="20"/>
          <w:lang w:eastAsia="en-US"/>
        </w:rPr>
        <w:t>majors français (Vinci, Bouygues et Eiffage) s</w:t>
      </w:r>
      <w:r w:rsidR="00271C4A">
        <w:rPr>
          <w:rFonts w:asciiTheme="minorHAnsi" w:hAnsiTheme="minorHAnsi" w:cstheme="minorHAnsi"/>
          <w:sz w:val="20"/>
          <w:szCs w:val="20"/>
          <w:lang w:eastAsia="en-US"/>
        </w:rPr>
        <w:t>e distinguent et occupent pour la première fois</w:t>
      </w:r>
      <w:r w:rsidR="000A7413">
        <w:rPr>
          <w:rFonts w:asciiTheme="minorHAnsi" w:hAnsiTheme="minorHAnsi" w:cstheme="minorHAnsi"/>
          <w:sz w:val="20"/>
          <w:szCs w:val="20"/>
          <w:lang w:eastAsia="en-US"/>
        </w:rPr>
        <w:t xml:space="preserve"> le Top 4 européen : </w:t>
      </w:r>
    </w:p>
    <w:p w14:paraId="38AA65BB" w14:textId="77777777" w:rsidR="004C77D4" w:rsidRDefault="004C77D4" w:rsidP="005E558E">
      <w:pPr>
        <w:autoSpaceDE w:val="0"/>
        <w:autoSpaceDN w:val="0"/>
        <w:adjustRightInd w:val="0"/>
        <w:rPr>
          <w:rFonts w:asciiTheme="minorHAnsi" w:hAnsiTheme="minorHAnsi" w:cstheme="minorHAnsi"/>
          <w:sz w:val="20"/>
          <w:szCs w:val="20"/>
          <w:lang w:eastAsia="en-US"/>
        </w:rPr>
      </w:pPr>
    </w:p>
    <w:p w14:paraId="7C0D7D5D" w14:textId="77777777" w:rsidR="004C77D4" w:rsidRDefault="00E0705A" w:rsidP="004C77D4">
      <w:pPr>
        <w:autoSpaceDE w:val="0"/>
        <w:autoSpaceDN w:val="0"/>
        <w:adjustRightInd w:val="0"/>
        <w:jc w:val="center"/>
        <w:rPr>
          <w:rFonts w:ascii="DINNextLTPro-Regular" w:hAnsi="DINNextLTPro-Regular" w:cs="DINNextLTPro-Regular"/>
          <w:color w:val="000000"/>
          <w:sz w:val="20"/>
          <w:szCs w:val="20"/>
          <w:lang w:eastAsia="en-US"/>
        </w:rPr>
      </w:pPr>
      <w:r>
        <w:rPr>
          <w:noProof/>
        </w:rPr>
        <w:drawing>
          <wp:inline distT="0" distB="0" distL="0" distR="0" wp14:anchorId="04ACDB4C" wp14:editId="76659719">
            <wp:extent cx="4471101" cy="1828800"/>
            <wp:effectExtent l="0" t="0" r="571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78879" cy="1831981"/>
                    </a:xfrm>
                    <a:prstGeom prst="rect">
                      <a:avLst/>
                    </a:prstGeom>
                  </pic:spPr>
                </pic:pic>
              </a:graphicData>
            </a:graphic>
          </wp:inline>
        </w:drawing>
      </w:r>
    </w:p>
    <w:p w14:paraId="2C8F4F19" w14:textId="77777777" w:rsidR="004C77D4" w:rsidRDefault="004C77D4" w:rsidP="009500A0">
      <w:pPr>
        <w:autoSpaceDE w:val="0"/>
        <w:autoSpaceDN w:val="0"/>
        <w:adjustRightInd w:val="0"/>
        <w:jc w:val="both"/>
        <w:rPr>
          <w:rFonts w:asciiTheme="minorHAnsi" w:hAnsiTheme="minorHAnsi" w:cstheme="minorHAnsi"/>
          <w:sz w:val="20"/>
          <w:szCs w:val="20"/>
          <w:lang w:eastAsia="en-US"/>
        </w:rPr>
      </w:pPr>
    </w:p>
    <w:p w14:paraId="10DA44BB" w14:textId="77777777" w:rsidR="009500A0" w:rsidRDefault="005E558E" w:rsidP="009500A0">
      <w:pPr>
        <w:autoSpaceDE w:val="0"/>
        <w:autoSpaceDN w:val="0"/>
        <w:adjustRightInd w:val="0"/>
        <w:jc w:val="both"/>
        <w:rPr>
          <w:rFonts w:ascii="DINNextLTPro-Regular" w:hAnsi="DINNextLTPro-Regular" w:cs="DINNextLTPro-Regular"/>
          <w:color w:val="000000"/>
          <w:sz w:val="20"/>
          <w:szCs w:val="20"/>
          <w:lang w:eastAsia="en-US"/>
        </w:rPr>
      </w:pPr>
      <w:r w:rsidRPr="005E558E">
        <w:rPr>
          <w:rFonts w:asciiTheme="minorHAnsi" w:hAnsiTheme="minorHAnsi" w:cstheme="minorHAnsi"/>
          <w:sz w:val="20"/>
          <w:szCs w:val="20"/>
          <w:lang w:eastAsia="en-US"/>
        </w:rPr>
        <w:t xml:space="preserve">L’un des enjeux en 2019 pour les groupes français, ayant réalisé en moyenne 59% de leur activité en France en 2018, sera de surveiller les coûts de production après une année marquée par la hausse de ces coûts </w:t>
      </w:r>
      <w:r w:rsidR="00D91963">
        <w:rPr>
          <w:rFonts w:asciiTheme="minorHAnsi" w:hAnsiTheme="minorHAnsi" w:cstheme="minorHAnsi"/>
          <w:sz w:val="20"/>
          <w:szCs w:val="20"/>
          <w:lang w:eastAsia="en-US"/>
        </w:rPr>
        <w:t xml:space="preserve">dans le secteur de la construction de </w:t>
      </w:r>
      <w:r w:rsidR="00524A73">
        <w:rPr>
          <w:rFonts w:asciiTheme="minorHAnsi" w:hAnsiTheme="minorHAnsi" w:cstheme="minorHAnsi"/>
          <w:sz w:val="20"/>
          <w:szCs w:val="20"/>
          <w:lang w:eastAsia="en-US"/>
        </w:rPr>
        <w:t>+</w:t>
      </w:r>
      <w:r w:rsidRPr="005E558E">
        <w:rPr>
          <w:rFonts w:asciiTheme="minorHAnsi" w:hAnsiTheme="minorHAnsi" w:cstheme="minorHAnsi"/>
          <w:sz w:val="20"/>
          <w:szCs w:val="20"/>
          <w:lang w:eastAsia="en-US"/>
        </w:rPr>
        <w:t>2,8%.</w:t>
      </w:r>
      <w:r w:rsidR="00F550F2">
        <w:rPr>
          <w:rFonts w:asciiTheme="minorHAnsi" w:hAnsiTheme="minorHAnsi" w:cstheme="minorHAnsi"/>
          <w:sz w:val="20"/>
          <w:szCs w:val="20"/>
          <w:lang w:eastAsia="en-US"/>
        </w:rPr>
        <w:t xml:space="preserve"> </w:t>
      </w:r>
      <w:r w:rsidR="00F550F2">
        <w:rPr>
          <w:rFonts w:ascii="DINNextLTPro-Regular" w:hAnsi="DINNextLTPro-Regular" w:cs="DINNextLTPro-Regular"/>
          <w:color w:val="000000"/>
          <w:sz w:val="20"/>
          <w:szCs w:val="20"/>
          <w:lang w:eastAsia="en-US"/>
        </w:rPr>
        <w:t xml:space="preserve">À titre de comparatif, l’inflation a </w:t>
      </w:r>
      <w:r w:rsidR="00F550F2" w:rsidRPr="00F550F2">
        <w:rPr>
          <w:rFonts w:asciiTheme="minorHAnsi" w:hAnsiTheme="minorHAnsi" w:cstheme="minorHAnsi"/>
          <w:sz w:val="20"/>
          <w:szCs w:val="20"/>
          <w:lang w:eastAsia="en-US"/>
        </w:rPr>
        <w:t>atteint +1,8% en moyenne</w:t>
      </w:r>
      <w:r w:rsidR="00F550F2">
        <w:rPr>
          <w:rFonts w:ascii="DINNextLTPro-Regular" w:hAnsi="DINNextLTPro-Regular" w:cs="DINNextLTPro-Regular"/>
          <w:color w:val="000000"/>
          <w:sz w:val="20"/>
          <w:szCs w:val="20"/>
          <w:lang w:eastAsia="en-US"/>
        </w:rPr>
        <w:t>.</w:t>
      </w:r>
      <w:r w:rsidR="009500A0" w:rsidRPr="009500A0">
        <w:rPr>
          <w:rFonts w:ascii="DINNextLTPro-Regular" w:hAnsi="DINNextLTPro-Regular" w:cs="DINNextLTPro-Regular"/>
          <w:color w:val="000000"/>
          <w:sz w:val="20"/>
          <w:szCs w:val="20"/>
          <w:lang w:eastAsia="en-US"/>
        </w:rPr>
        <w:t xml:space="preserve"> </w:t>
      </w:r>
    </w:p>
    <w:p w14:paraId="208B7AD3" w14:textId="77777777" w:rsidR="009500A0" w:rsidRDefault="009500A0" w:rsidP="009500A0">
      <w:pPr>
        <w:autoSpaceDE w:val="0"/>
        <w:autoSpaceDN w:val="0"/>
        <w:adjustRightInd w:val="0"/>
        <w:rPr>
          <w:rFonts w:ascii="DINNextLTPro-Regular" w:hAnsi="DINNextLTPro-Regular" w:cs="DINNextLTPro-Regular"/>
          <w:color w:val="000000"/>
          <w:sz w:val="20"/>
          <w:szCs w:val="20"/>
          <w:lang w:eastAsia="en-US"/>
        </w:rPr>
      </w:pPr>
    </w:p>
    <w:p w14:paraId="21F3AFAB" w14:textId="77777777" w:rsidR="009B1C17" w:rsidRPr="00D91963" w:rsidRDefault="009B1C17" w:rsidP="00D91963">
      <w:pPr>
        <w:autoSpaceDE w:val="0"/>
        <w:autoSpaceDN w:val="0"/>
        <w:adjustRightInd w:val="0"/>
        <w:jc w:val="both"/>
        <w:rPr>
          <w:rFonts w:asciiTheme="minorHAnsi" w:hAnsiTheme="minorHAnsi" w:cstheme="minorHAnsi"/>
          <w:sz w:val="20"/>
          <w:szCs w:val="20"/>
          <w:lang w:eastAsia="en-US"/>
        </w:rPr>
      </w:pPr>
      <w:r w:rsidRPr="00D91963">
        <w:rPr>
          <w:rFonts w:asciiTheme="minorHAnsi" w:hAnsiTheme="minorHAnsi" w:cstheme="minorHAnsi"/>
          <w:sz w:val="20"/>
          <w:szCs w:val="20"/>
          <w:lang w:eastAsia="en-US"/>
        </w:rPr>
        <w:t>Cette hausse globale des coûts de production sur 2018 s’explique notamment par une hausse du coût des matériaux de +8,0% dans les travaux publics et une hausse du coût de l’énergie de +15,8% dans les travaux publics et de +16,8% dans le bâtiment.</w:t>
      </w:r>
    </w:p>
    <w:p w14:paraId="1CA703BF" w14:textId="77777777" w:rsidR="00AF4723" w:rsidRDefault="00AF4723" w:rsidP="009500A0">
      <w:pPr>
        <w:autoSpaceDE w:val="0"/>
        <w:autoSpaceDN w:val="0"/>
        <w:adjustRightInd w:val="0"/>
        <w:jc w:val="both"/>
        <w:rPr>
          <w:rFonts w:asciiTheme="minorHAnsi" w:hAnsiTheme="minorHAnsi" w:cstheme="minorHAnsi"/>
          <w:sz w:val="20"/>
          <w:szCs w:val="20"/>
          <w:lang w:eastAsia="en-US"/>
        </w:rPr>
      </w:pPr>
    </w:p>
    <w:p w14:paraId="4E477AF2" w14:textId="77777777" w:rsidR="00AF4723" w:rsidRPr="00F33712" w:rsidRDefault="004C77D4" w:rsidP="009500A0">
      <w:pPr>
        <w:autoSpaceDE w:val="0"/>
        <w:autoSpaceDN w:val="0"/>
        <w:adjustRightInd w:val="0"/>
        <w:jc w:val="both"/>
        <w:rPr>
          <w:rFonts w:asciiTheme="minorHAnsi" w:hAnsiTheme="minorHAnsi" w:cstheme="minorHAnsi"/>
          <w:sz w:val="20"/>
          <w:szCs w:val="20"/>
          <w:lang w:eastAsia="en-US"/>
        </w:rPr>
      </w:pPr>
      <w:r w:rsidRPr="00F33712">
        <w:rPr>
          <w:rFonts w:asciiTheme="minorHAnsi" w:hAnsiTheme="minorHAnsi" w:cstheme="minorHAnsi"/>
          <w:sz w:val="20"/>
          <w:szCs w:val="20"/>
          <w:lang w:eastAsia="en-US"/>
        </w:rPr>
        <w:t>A noter que l</w:t>
      </w:r>
      <w:r w:rsidR="00AF4723" w:rsidRPr="00F33712">
        <w:rPr>
          <w:rFonts w:asciiTheme="minorHAnsi" w:hAnsiTheme="minorHAnsi" w:cstheme="minorHAnsi"/>
          <w:sz w:val="20"/>
          <w:szCs w:val="20"/>
          <w:lang w:eastAsia="en-US"/>
        </w:rPr>
        <w:t>e dynamisme du Grand Paris ne peut occulter les disparités fortes en région, où l’activité se concentre très largement autour des métropoles régionales. La rentabilité opérationnelle de l’immobilier en Ile-de-France reste un enjeu fort et le dynamisme des activités routières et de services accroit la diversification des majors.</w:t>
      </w:r>
    </w:p>
    <w:p w14:paraId="27447779" w14:textId="77777777" w:rsidR="004C77D4" w:rsidRDefault="00344A55" w:rsidP="005E558E">
      <w:pPr>
        <w:spacing w:before="240" w:line="269" w:lineRule="auto"/>
        <w:jc w:val="both"/>
        <w:rPr>
          <w:rFonts w:asciiTheme="minorHAnsi" w:hAnsiTheme="minorHAnsi" w:cstheme="minorHAnsi"/>
          <w:sz w:val="20"/>
          <w:szCs w:val="20"/>
          <w:lang w:eastAsia="en-US"/>
        </w:rPr>
      </w:pPr>
      <w:bookmarkStart w:id="3" w:name="_Hlk23426291"/>
      <w:r w:rsidRPr="00C320E0">
        <w:rPr>
          <w:rFonts w:asciiTheme="minorHAnsi" w:hAnsiTheme="minorHAnsi" w:cstheme="minorHAnsi"/>
          <w:sz w:val="20"/>
          <w:szCs w:val="20"/>
          <w:lang w:eastAsia="en-US"/>
        </w:rPr>
        <w:t>Avec une</w:t>
      </w:r>
      <w:r>
        <w:rPr>
          <w:rFonts w:asciiTheme="minorHAnsi" w:hAnsiTheme="minorHAnsi" w:cstheme="minorHAnsi"/>
          <w:sz w:val="20"/>
          <w:szCs w:val="20"/>
          <w:lang w:eastAsia="en-US"/>
        </w:rPr>
        <w:t xml:space="preserve"> </w:t>
      </w:r>
      <w:r w:rsidRPr="00C320E0">
        <w:rPr>
          <w:rFonts w:asciiTheme="minorHAnsi" w:hAnsiTheme="minorHAnsi" w:cstheme="minorHAnsi"/>
          <w:sz w:val="20"/>
          <w:szCs w:val="20"/>
          <w:lang w:eastAsia="en-US"/>
        </w:rPr>
        <w:t>augmentation de +9,3% de leurs carnets de commandes en 2018, soit près de 6 points supérieurs à la moyenne européenne, les prévisions pour les groupes français sont optimistes.</w:t>
      </w:r>
    </w:p>
    <w:p w14:paraId="08A82378" w14:textId="77777777" w:rsidR="00636FC8" w:rsidRPr="00143926" w:rsidRDefault="00636FC8" w:rsidP="00143926">
      <w:pPr>
        <w:spacing w:before="240" w:line="269" w:lineRule="auto"/>
        <w:jc w:val="both"/>
        <w:rPr>
          <w:rFonts w:asciiTheme="minorHAnsi" w:hAnsiTheme="minorHAnsi" w:cstheme="minorHAnsi"/>
          <w:sz w:val="20"/>
          <w:szCs w:val="20"/>
          <w:lang w:eastAsia="en-US"/>
        </w:rPr>
      </w:pPr>
      <w:r w:rsidRPr="00323D04">
        <w:rPr>
          <w:rFonts w:asciiTheme="minorHAnsi" w:hAnsiTheme="minorHAnsi" w:cstheme="minorHAnsi"/>
          <w:sz w:val="20"/>
          <w:szCs w:val="20"/>
          <w:lang w:eastAsia="en-US"/>
        </w:rPr>
        <w:t>Les majors français surperforment </w:t>
      </w:r>
      <w:r w:rsidR="00323D04">
        <w:rPr>
          <w:rFonts w:asciiTheme="minorHAnsi" w:hAnsiTheme="minorHAnsi" w:cstheme="minorHAnsi"/>
          <w:sz w:val="20"/>
          <w:szCs w:val="20"/>
          <w:lang w:eastAsia="en-US"/>
        </w:rPr>
        <w:t xml:space="preserve">la plupart de </w:t>
      </w:r>
      <w:r w:rsidR="001C6B0A">
        <w:rPr>
          <w:rFonts w:asciiTheme="minorHAnsi" w:hAnsiTheme="minorHAnsi" w:cstheme="minorHAnsi"/>
          <w:sz w:val="20"/>
          <w:szCs w:val="20"/>
          <w:lang w:eastAsia="en-US"/>
        </w:rPr>
        <w:t xml:space="preserve">leurs </w:t>
      </w:r>
      <w:r w:rsidR="00323D04">
        <w:rPr>
          <w:rFonts w:asciiTheme="minorHAnsi" w:hAnsiTheme="minorHAnsi" w:cstheme="minorHAnsi"/>
          <w:sz w:val="20"/>
          <w:szCs w:val="20"/>
          <w:lang w:eastAsia="en-US"/>
        </w:rPr>
        <w:t>compétiteurs européens</w:t>
      </w:r>
      <w:bookmarkEnd w:id="3"/>
      <w:r w:rsidR="007F2194">
        <w:rPr>
          <w:rFonts w:asciiTheme="minorHAnsi" w:hAnsiTheme="minorHAnsi" w:cstheme="minorHAnsi"/>
          <w:sz w:val="20"/>
          <w:szCs w:val="20"/>
          <w:lang w:eastAsia="en-US"/>
        </w:rPr>
        <w:t xml:space="preserve"> mais également le marché de la construction </w:t>
      </w:r>
      <w:r w:rsidR="001C6B0A">
        <w:rPr>
          <w:rFonts w:asciiTheme="minorHAnsi" w:hAnsiTheme="minorHAnsi" w:cstheme="minorHAnsi"/>
          <w:sz w:val="20"/>
          <w:szCs w:val="20"/>
          <w:lang w:eastAsia="en-US"/>
        </w:rPr>
        <w:t xml:space="preserve">dans son ensemble ainsi que </w:t>
      </w:r>
      <w:r w:rsidR="007F2194">
        <w:rPr>
          <w:rFonts w:asciiTheme="minorHAnsi" w:hAnsiTheme="minorHAnsi" w:cstheme="minorHAnsi"/>
          <w:sz w:val="20"/>
          <w:szCs w:val="20"/>
          <w:lang w:eastAsia="en-US"/>
        </w:rPr>
        <w:t>le PIB</w:t>
      </w:r>
      <w:r w:rsidR="001C6B0A">
        <w:rPr>
          <w:rFonts w:asciiTheme="minorHAnsi" w:hAnsiTheme="minorHAnsi" w:cstheme="minorHAnsi"/>
          <w:sz w:val="20"/>
          <w:szCs w:val="20"/>
          <w:lang w:eastAsia="en-US"/>
        </w:rPr>
        <w:t>, tous secteurs confondus,</w:t>
      </w:r>
      <w:r w:rsidR="007F2194">
        <w:rPr>
          <w:rFonts w:asciiTheme="minorHAnsi" w:hAnsiTheme="minorHAnsi" w:cstheme="minorHAnsi"/>
          <w:sz w:val="20"/>
          <w:szCs w:val="20"/>
          <w:lang w:eastAsia="en-US"/>
        </w:rPr>
        <w:t xml:space="preserve"> en Europe</w:t>
      </w:r>
      <w:r w:rsidR="00323D04">
        <w:rPr>
          <w:rFonts w:asciiTheme="minorHAnsi" w:hAnsiTheme="minorHAnsi" w:cstheme="minorHAnsi"/>
          <w:sz w:val="20"/>
          <w:szCs w:val="20"/>
          <w:lang w:eastAsia="en-US"/>
        </w:rPr>
        <w:t xml:space="preserve">. </w:t>
      </w:r>
      <w:r w:rsidR="00AD2351">
        <w:rPr>
          <w:rFonts w:asciiTheme="minorHAnsi" w:hAnsiTheme="minorHAnsi" w:cstheme="minorHAnsi"/>
          <w:sz w:val="20"/>
          <w:szCs w:val="20"/>
          <w:lang w:eastAsia="en-US"/>
        </w:rPr>
        <w:t>En effet, l</w:t>
      </w:r>
      <w:r w:rsidR="00A73121" w:rsidRPr="00323D04">
        <w:rPr>
          <w:rFonts w:asciiTheme="minorHAnsi" w:hAnsiTheme="minorHAnsi" w:cstheme="minorHAnsi"/>
          <w:sz w:val="20"/>
          <w:szCs w:val="20"/>
          <w:lang w:eastAsia="en-US"/>
        </w:rPr>
        <w:t xml:space="preserve">a croissance moyenne des majors européens hors français est </w:t>
      </w:r>
      <w:r w:rsidR="003445A2" w:rsidRPr="00323D04">
        <w:rPr>
          <w:rFonts w:asciiTheme="minorHAnsi" w:hAnsiTheme="minorHAnsi" w:cstheme="minorHAnsi"/>
          <w:sz w:val="20"/>
          <w:szCs w:val="20"/>
          <w:lang w:eastAsia="en-US"/>
        </w:rPr>
        <w:t xml:space="preserve">de </w:t>
      </w:r>
      <w:r w:rsidR="00A73121" w:rsidRPr="00323D04">
        <w:rPr>
          <w:rFonts w:asciiTheme="minorHAnsi" w:hAnsiTheme="minorHAnsi" w:cstheme="minorHAnsi"/>
          <w:sz w:val="20"/>
          <w:szCs w:val="20"/>
          <w:lang w:eastAsia="en-US"/>
        </w:rPr>
        <w:t xml:space="preserve">+5,3%, avec des situations contrastées au Royaume-Uni </w:t>
      </w:r>
      <w:r w:rsidR="00A73121" w:rsidRPr="00323D04">
        <w:rPr>
          <w:rFonts w:asciiTheme="minorHAnsi" w:hAnsiTheme="minorHAnsi" w:cstheme="minorHAnsi"/>
          <w:sz w:val="20"/>
          <w:szCs w:val="20"/>
          <w:lang w:eastAsia="en-US"/>
        </w:rPr>
        <w:lastRenderedPageBreak/>
        <w:t>(faillite de Carillon) et en Italie (paralysie du marché domestique)</w:t>
      </w:r>
      <w:r w:rsidR="00143926">
        <w:rPr>
          <w:rFonts w:asciiTheme="minorHAnsi" w:hAnsiTheme="minorHAnsi" w:cstheme="minorHAnsi"/>
          <w:sz w:val="20"/>
          <w:szCs w:val="20"/>
          <w:lang w:eastAsia="en-US"/>
        </w:rPr>
        <w:t xml:space="preserve">. </w:t>
      </w:r>
      <w:r w:rsidRPr="00143926">
        <w:rPr>
          <w:rFonts w:asciiTheme="minorHAnsi" w:hAnsiTheme="minorHAnsi" w:cstheme="minorHAnsi"/>
          <w:sz w:val="20"/>
          <w:szCs w:val="20"/>
          <w:lang w:eastAsia="en-US"/>
        </w:rPr>
        <w:t>Le marché global de la construction en Europe affiche</w:t>
      </w:r>
      <w:r w:rsidR="00AD2351">
        <w:rPr>
          <w:rFonts w:asciiTheme="minorHAnsi" w:hAnsiTheme="minorHAnsi" w:cstheme="minorHAnsi"/>
          <w:sz w:val="20"/>
          <w:szCs w:val="20"/>
          <w:lang w:eastAsia="en-US"/>
        </w:rPr>
        <w:t xml:space="preserve"> quant à lui</w:t>
      </w:r>
      <w:r w:rsidRPr="00143926">
        <w:rPr>
          <w:rFonts w:asciiTheme="minorHAnsi" w:hAnsiTheme="minorHAnsi" w:cstheme="minorHAnsi"/>
          <w:sz w:val="20"/>
          <w:szCs w:val="20"/>
          <w:lang w:eastAsia="en-US"/>
        </w:rPr>
        <w:t xml:space="preserve"> un</w:t>
      </w:r>
      <w:r w:rsidR="00297838" w:rsidRPr="00143926">
        <w:rPr>
          <w:rFonts w:asciiTheme="minorHAnsi" w:hAnsiTheme="minorHAnsi" w:cstheme="minorHAnsi"/>
          <w:sz w:val="20"/>
          <w:szCs w:val="20"/>
          <w:lang w:eastAsia="en-US"/>
        </w:rPr>
        <w:t>e</w:t>
      </w:r>
      <w:r w:rsidRPr="00143926">
        <w:rPr>
          <w:rFonts w:asciiTheme="minorHAnsi" w:hAnsiTheme="minorHAnsi" w:cstheme="minorHAnsi"/>
          <w:sz w:val="20"/>
          <w:szCs w:val="20"/>
          <w:lang w:eastAsia="en-US"/>
        </w:rPr>
        <w:t xml:space="preserve"> croissance de +3,5%</w:t>
      </w:r>
      <w:r w:rsidR="00143926">
        <w:rPr>
          <w:rFonts w:asciiTheme="minorHAnsi" w:hAnsiTheme="minorHAnsi" w:cstheme="minorHAnsi"/>
          <w:sz w:val="20"/>
          <w:szCs w:val="20"/>
          <w:lang w:eastAsia="en-US"/>
        </w:rPr>
        <w:t>, qui</w:t>
      </w:r>
      <w:r w:rsidR="00143926" w:rsidRPr="00143926">
        <w:rPr>
          <w:rFonts w:asciiTheme="minorHAnsi" w:hAnsiTheme="minorHAnsi" w:cstheme="minorHAnsi"/>
          <w:sz w:val="20"/>
          <w:szCs w:val="20"/>
          <w:lang w:eastAsia="en-US"/>
        </w:rPr>
        <w:t xml:space="preserve"> </w:t>
      </w:r>
      <w:r w:rsidR="00143926" w:rsidRPr="00AF4723">
        <w:rPr>
          <w:rFonts w:asciiTheme="minorHAnsi" w:hAnsiTheme="minorHAnsi" w:cstheme="minorHAnsi"/>
          <w:sz w:val="20"/>
          <w:szCs w:val="20"/>
          <w:lang w:eastAsia="en-US"/>
        </w:rPr>
        <w:t>dépasse de nouveau celle du PIB européen (+1,9%).</w:t>
      </w:r>
    </w:p>
    <w:p w14:paraId="35656326" w14:textId="77777777" w:rsidR="00636FC8" w:rsidRPr="00636FC8" w:rsidRDefault="00C226E5" w:rsidP="008F72F8">
      <w:pPr>
        <w:spacing w:before="240" w:line="269" w:lineRule="auto"/>
        <w:jc w:val="center"/>
        <w:rPr>
          <w:rFonts w:asciiTheme="minorHAnsi" w:hAnsiTheme="minorHAnsi" w:cstheme="minorHAnsi"/>
          <w:b/>
          <w:bCs/>
          <w:sz w:val="20"/>
          <w:szCs w:val="20"/>
          <w:lang w:eastAsia="en-US"/>
        </w:rPr>
      </w:pPr>
      <w:r w:rsidRPr="00C226E5">
        <w:rPr>
          <w:rFonts w:asciiTheme="minorHAnsi" w:hAnsiTheme="minorHAnsi" w:cstheme="minorHAnsi"/>
          <w:b/>
          <w:bCs/>
          <w:noProof/>
          <w:sz w:val="20"/>
          <w:szCs w:val="20"/>
          <w:lang w:eastAsia="en-US"/>
        </w:rPr>
        <w:drawing>
          <wp:inline distT="0" distB="0" distL="0" distR="0" wp14:anchorId="32628588" wp14:editId="08A9782B">
            <wp:extent cx="3248025" cy="1106139"/>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9"/>
                    <a:stretch>
                      <a:fillRect/>
                    </a:stretch>
                  </pic:blipFill>
                  <pic:spPr>
                    <a:xfrm>
                      <a:off x="0" y="0"/>
                      <a:ext cx="3254565" cy="1108366"/>
                    </a:xfrm>
                    <a:prstGeom prst="rect">
                      <a:avLst/>
                    </a:prstGeom>
                  </pic:spPr>
                </pic:pic>
              </a:graphicData>
            </a:graphic>
          </wp:inline>
        </w:drawing>
      </w:r>
    </w:p>
    <w:p w14:paraId="0D997742" w14:textId="77777777" w:rsidR="00037AF9" w:rsidRPr="00C320E0" w:rsidRDefault="00C320E0" w:rsidP="00D27CEC">
      <w:pPr>
        <w:spacing w:before="240" w:line="269" w:lineRule="auto"/>
        <w:rPr>
          <w:rFonts w:asciiTheme="minorHAnsi" w:hAnsiTheme="minorHAnsi" w:cstheme="minorHAnsi"/>
          <w:b/>
          <w:bCs/>
          <w:sz w:val="20"/>
          <w:szCs w:val="20"/>
          <w:lang w:eastAsia="en-US"/>
        </w:rPr>
      </w:pPr>
      <w:r w:rsidRPr="00C320E0">
        <w:rPr>
          <w:rFonts w:asciiTheme="minorHAnsi" w:hAnsiTheme="minorHAnsi" w:cstheme="minorHAnsi"/>
          <w:b/>
          <w:sz w:val="20"/>
          <w:szCs w:val="20"/>
          <w:lang w:eastAsia="en-US"/>
        </w:rPr>
        <w:t>2018, une croissance toujours soutenue, des taux de marge sous tension</w:t>
      </w:r>
    </w:p>
    <w:p w14:paraId="5380D945" w14:textId="77777777" w:rsidR="00660481" w:rsidRPr="00BF16DD" w:rsidRDefault="00660481" w:rsidP="00660481">
      <w:pPr>
        <w:autoSpaceDE w:val="0"/>
        <w:autoSpaceDN w:val="0"/>
        <w:adjustRightInd w:val="0"/>
        <w:rPr>
          <w:rFonts w:asciiTheme="minorHAnsi" w:hAnsiTheme="minorHAnsi" w:cstheme="minorHAnsi"/>
          <w:color w:val="000000"/>
          <w:sz w:val="20"/>
          <w:szCs w:val="20"/>
          <w:lang w:eastAsia="en-US"/>
        </w:rPr>
      </w:pPr>
    </w:p>
    <w:p w14:paraId="111C120C" w14:textId="77777777" w:rsidR="00C320E0" w:rsidRDefault="00C320E0" w:rsidP="00C320E0">
      <w:pPr>
        <w:autoSpaceDE w:val="0"/>
        <w:autoSpaceDN w:val="0"/>
        <w:adjustRightInd w:val="0"/>
        <w:jc w:val="both"/>
        <w:rPr>
          <w:rFonts w:asciiTheme="minorHAnsi" w:hAnsiTheme="minorHAnsi" w:cstheme="minorHAnsi"/>
          <w:sz w:val="20"/>
          <w:szCs w:val="20"/>
          <w:lang w:eastAsia="en-US"/>
        </w:rPr>
      </w:pPr>
      <w:r w:rsidRPr="00C320E0">
        <w:rPr>
          <w:rFonts w:asciiTheme="minorHAnsi" w:hAnsiTheme="minorHAnsi" w:cstheme="minorHAnsi"/>
          <w:sz w:val="20"/>
          <w:szCs w:val="20"/>
          <w:lang w:eastAsia="en-US"/>
        </w:rPr>
        <w:t xml:space="preserve">Suite à une nette reprise de l’activité en 2017 (+6,9%) après plusieurs années de ralentissement, 2018 vient confirmer la tendance avec une nouvelle hausse de l’activité de +6,2%. Cette </w:t>
      </w:r>
      <w:r w:rsidR="00F73B9C">
        <w:rPr>
          <w:rFonts w:asciiTheme="minorHAnsi" w:hAnsiTheme="minorHAnsi" w:cstheme="minorHAnsi"/>
          <w:sz w:val="20"/>
          <w:szCs w:val="20"/>
          <w:lang w:eastAsia="en-US"/>
        </w:rPr>
        <w:t>augmentation</w:t>
      </w:r>
      <w:r w:rsidRPr="00C320E0">
        <w:rPr>
          <w:rFonts w:asciiTheme="minorHAnsi" w:hAnsiTheme="minorHAnsi" w:cstheme="minorHAnsi"/>
          <w:sz w:val="20"/>
          <w:szCs w:val="20"/>
          <w:lang w:eastAsia="en-US"/>
        </w:rPr>
        <w:t xml:space="preserve"> confirme ainsi les prévisions motivées par la croissance du carnet de commandes des groupes du panel ces dernières années, par la poursuite de nombreux projets majeurs ainsi que par les effets des acquisitions récentes.</w:t>
      </w:r>
    </w:p>
    <w:p w14:paraId="7CED1200" w14:textId="77777777" w:rsidR="00C320E0" w:rsidRDefault="00C320E0" w:rsidP="00C320E0">
      <w:pPr>
        <w:autoSpaceDE w:val="0"/>
        <w:autoSpaceDN w:val="0"/>
        <w:adjustRightInd w:val="0"/>
        <w:jc w:val="both"/>
        <w:rPr>
          <w:rFonts w:asciiTheme="minorHAnsi" w:hAnsiTheme="minorHAnsi" w:cstheme="minorHAnsi"/>
          <w:sz w:val="20"/>
          <w:szCs w:val="20"/>
          <w:lang w:eastAsia="en-US"/>
        </w:rPr>
      </w:pPr>
    </w:p>
    <w:p w14:paraId="2DD87A52" w14:textId="77777777" w:rsidR="00C320E0" w:rsidRDefault="00C320E0" w:rsidP="00BA7A0D">
      <w:pPr>
        <w:autoSpaceDE w:val="0"/>
        <w:autoSpaceDN w:val="0"/>
        <w:adjustRightInd w:val="0"/>
        <w:jc w:val="both"/>
        <w:rPr>
          <w:rFonts w:asciiTheme="minorHAnsi" w:hAnsiTheme="minorHAnsi" w:cstheme="minorHAnsi"/>
          <w:sz w:val="20"/>
          <w:szCs w:val="20"/>
          <w:lang w:eastAsia="en-US"/>
        </w:rPr>
      </w:pPr>
      <w:r w:rsidRPr="00C320E0">
        <w:rPr>
          <w:rFonts w:asciiTheme="minorHAnsi" w:hAnsiTheme="minorHAnsi" w:cstheme="minorHAnsi"/>
          <w:sz w:val="20"/>
          <w:szCs w:val="20"/>
          <w:lang w:eastAsia="en-US"/>
        </w:rPr>
        <w:t>Cet</w:t>
      </w:r>
      <w:r w:rsidR="00F73B9C">
        <w:rPr>
          <w:rFonts w:asciiTheme="minorHAnsi" w:hAnsiTheme="minorHAnsi" w:cstheme="minorHAnsi"/>
          <w:sz w:val="20"/>
          <w:szCs w:val="20"/>
          <w:lang w:eastAsia="en-US"/>
        </w:rPr>
        <w:t xml:space="preserve"> accroissement</w:t>
      </w:r>
      <w:r w:rsidRPr="00C320E0">
        <w:rPr>
          <w:rFonts w:asciiTheme="minorHAnsi" w:hAnsiTheme="minorHAnsi" w:cstheme="minorHAnsi"/>
          <w:sz w:val="20"/>
          <w:szCs w:val="20"/>
          <w:lang w:eastAsia="en-US"/>
        </w:rPr>
        <w:t xml:space="preserve"> de l’activité globale ne s’accompagne pas encore d’une amélioration de la rentabilité. Après une</w:t>
      </w:r>
      <w:r w:rsidR="00BA7A0D">
        <w:rPr>
          <w:rFonts w:asciiTheme="minorHAnsi" w:hAnsiTheme="minorHAnsi" w:cstheme="minorHAnsi"/>
          <w:sz w:val="20"/>
          <w:szCs w:val="20"/>
          <w:lang w:eastAsia="en-US"/>
        </w:rPr>
        <w:t xml:space="preserve"> </w:t>
      </w:r>
      <w:r w:rsidRPr="00C320E0">
        <w:rPr>
          <w:rFonts w:asciiTheme="minorHAnsi" w:hAnsiTheme="minorHAnsi" w:cstheme="minorHAnsi"/>
          <w:sz w:val="20"/>
          <w:szCs w:val="20"/>
          <w:lang w:eastAsia="en-US"/>
        </w:rPr>
        <w:t xml:space="preserve">légère baisse de 0,1 point en 2017, le taux de marge opérationnelle est en </w:t>
      </w:r>
      <w:r w:rsidR="00C524F8">
        <w:rPr>
          <w:rFonts w:asciiTheme="minorHAnsi" w:hAnsiTheme="minorHAnsi" w:cstheme="minorHAnsi"/>
          <w:sz w:val="20"/>
          <w:szCs w:val="20"/>
          <w:lang w:eastAsia="en-US"/>
        </w:rPr>
        <w:t>diminution</w:t>
      </w:r>
      <w:r w:rsidRPr="00C320E0">
        <w:rPr>
          <w:rFonts w:asciiTheme="minorHAnsi" w:hAnsiTheme="minorHAnsi" w:cstheme="minorHAnsi"/>
          <w:sz w:val="20"/>
          <w:szCs w:val="20"/>
          <w:lang w:eastAsia="en-US"/>
        </w:rPr>
        <w:t xml:space="preserve"> de 0,7 point en 2018.</w:t>
      </w:r>
    </w:p>
    <w:p w14:paraId="64D95A0D" w14:textId="77777777" w:rsidR="00C320E0" w:rsidRDefault="00C320E0" w:rsidP="00C320E0">
      <w:pPr>
        <w:autoSpaceDE w:val="0"/>
        <w:autoSpaceDN w:val="0"/>
        <w:adjustRightInd w:val="0"/>
        <w:rPr>
          <w:rFonts w:asciiTheme="minorHAnsi" w:hAnsiTheme="minorHAnsi" w:cstheme="minorHAnsi"/>
          <w:sz w:val="20"/>
          <w:szCs w:val="20"/>
          <w:lang w:eastAsia="en-US"/>
        </w:rPr>
      </w:pPr>
    </w:p>
    <w:p w14:paraId="0160A2C2" w14:textId="77777777" w:rsidR="00271C4A" w:rsidRDefault="00271C4A" w:rsidP="00C320E0">
      <w:pPr>
        <w:autoSpaceDE w:val="0"/>
        <w:autoSpaceDN w:val="0"/>
        <w:adjustRightInd w:val="0"/>
        <w:jc w:val="both"/>
        <w:rPr>
          <w:rFonts w:asciiTheme="minorHAnsi" w:hAnsiTheme="minorHAnsi" w:cstheme="minorHAnsi"/>
          <w:sz w:val="20"/>
          <w:szCs w:val="20"/>
          <w:lang w:eastAsia="en-US"/>
        </w:rPr>
      </w:pPr>
      <w:r>
        <w:rPr>
          <w:rFonts w:asciiTheme="minorHAnsi" w:hAnsiTheme="minorHAnsi" w:cstheme="minorHAnsi"/>
          <w:sz w:val="20"/>
          <w:szCs w:val="20"/>
          <w:lang w:eastAsia="en-US"/>
        </w:rPr>
        <w:t>Concernant les secteurs,</w:t>
      </w:r>
      <w:r w:rsidRPr="005B1C48">
        <w:rPr>
          <w:rFonts w:asciiTheme="minorHAnsi" w:hAnsiTheme="minorHAnsi" w:cstheme="minorHAnsi"/>
          <w:sz w:val="20"/>
          <w:szCs w:val="20"/>
          <w:lang w:eastAsia="en-US"/>
        </w:rPr>
        <w:t xml:space="preserve"> tous affichent une hausse de leur activité en 2018, de 4,9% pour le BTP à nettement plus pour l’énergie et les services (+11,9%), la route (+11,4%), ainsi que pour l’immobilier (+9,9%). En revanche, les taux de marge opérationnelle sont en baisse en 2018 pour l’intégralité des secteurs du panel.</w:t>
      </w:r>
    </w:p>
    <w:p w14:paraId="73508D84" w14:textId="77777777" w:rsidR="00271C4A" w:rsidRDefault="00271C4A" w:rsidP="00C320E0">
      <w:pPr>
        <w:autoSpaceDE w:val="0"/>
        <w:autoSpaceDN w:val="0"/>
        <w:adjustRightInd w:val="0"/>
        <w:jc w:val="both"/>
        <w:rPr>
          <w:rFonts w:asciiTheme="minorHAnsi" w:hAnsiTheme="minorHAnsi" w:cstheme="minorHAnsi"/>
          <w:sz w:val="20"/>
          <w:szCs w:val="20"/>
          <w:lang w:eastAsia="en-US"/>
        </w:rPr>
      </w:pPr>
    </w:p>
    <w:p w14:paraId="74520520" w14:textId="77777777" w:rsidR="00C320E0" w:rsidRDefault="00C320E0" w:rsidP="00C320E0">
      <w:pPr>
        <w:autoSpaceDE w:val="0"/>
        <w:autoSpaceDN w:val="0"/>
        <w:adjustRightInd w:val="0"/>
        <w:jc w:val="both"/>
        <w:rPr>
          <w:rFonts w:asciiTheme="minorHAnsi" w:hAnsiTheme="minorHAnsi" w:cstheme="minorHAnsi"/>
          <w:sz w:val="20"/>
          <w:szCs w:val="20"/>
          <w:lang w:eastAsia="en-US"/>
        </w:rPr>
      </w:pPr>
      <w:r w:rsidRPr="00C320E0">
        <w:rPr>
          <w:rFonts w:asciiTheme="minorHAnsi" w:hAnsiTheme="minorHAnsi" w:cstheme="minorHAnsi"/>
          <w:sz w:val="20"/>
          <w:szCs w:val="20"/>
          <w:lang w:eastAsia="en-US"/>
        </w:rPr>
        <w:t>En répercussion de la nouvelle hausse du carnet de commandes de +3,1% en 2018, l’année 2019 devrait être</w:t>
      </w:r>
      <w:r>
        <w:rPr>
          <w:rFonts w:asciiTheme="minorHAnsi" w:hAnsiTheme="minorHAnsi" w:cstheme="minorHAnsi"/>
          <w:sz w:val="20"/>
          <w:szCs w:val="20"/>
          <w:lang w:eastAsia="en-US"/>
        </w:rPr>
        <w:t xml:space="preserve"> </w:t>
      </w:r>
      <w:r w:rsidRPr="00C320E0">
        <w:rPr>
          <w:rFonts w:asciiTheme="minorHAnsi" w:hAnsiTheme="minorHAnsi" w:cstheme="minorHAnsi"/>
          <w:sz w:val="20"/>
          <w:szCs w:val="20"/>
          <w:lang w:eastAsia="en-US"/>
        </w:rPr>
        <w:t xml:space="preserve">marquée par une poursuite de la hausse de l’activité, toutefois plus modérée qu’en 2018. </w:t>
      </w:r>
    </w:p>
    <w:p w14:paraId="099B91E4" w14:textId="77777777" w:rsidR="00C320E0" w:rsidRDefault="00C320E0" w:rsidP="00C320E0">
      <w:pPr>
        <w:autoSpaceDE w:val="0"/>
        <w:autoSpaceDN w:val="0"/>
        <w:adjustRightInd w:val="0"/>
        <w:jc w:val="both"/>
        <w:rPr>
          <w:rFonts w:asciiTheme="minorHAnsi" w:hAnsiTheme="minorHAnsi" w:cstheme="minorHAnsi"/>
          <w:sz w:val="20"/>
          <w:szCs w:val="20"/>
          <w:lang w:eastAsia="en-US"/>
        </w:rPr>
      </w:pPr>
    </w:p>
    <w:p w14:paraId="303895A5" w14:textId="77777777" w:rsidR="00C320E0" w:rsidRPr="00C320E0" w:rsidRDefault="00C320E0" w:rsidP="00C320E0">
      <w:pPr>
        <w:autoSpaceDE w:val="0"/>
        <w:autoSpaceDN w:val="0"/>
        <w:adjustRightInd w:val="0"/>
        <w:jc w:val="both"/>
        <w:rPr>
          <w:rFonts w:asciiTheme="minorHAnsi" w:hAnsiTheme="minorHAnsi" w:cstheme="minorHAnsi"/>
          <w:sz w:val="20"/>
          <w:szCs w:val="20"/>
          <w:lang w:eastAsia="en-US"/>
        </w:rPr>
      </w:pPr>
      <w:r w:rsidRPr="00C320E0">
        <w:rPr>
          <w:rFonts w:asciiTheme="minorHAnsi" w:hAnsiTheme="minorHAnsi" w:cstheme="minorHAnsi"/>
          <w:sz w:val="20"/>
          <w:szCs w:val="20"/>
          <w:lang w:eastAsia="en-US"/>
        </w:rPr>
        <w:t>Sur le 1</w:t>
      </w:r>
      <w:r w:rsidRPr="00C320E0">
        <w:rPr>
          <w:rFonts w:asciiTheme="minorHAnsi" w:hAnsiTheme="minorHAnsi" w:cstheme="minorHAnsi"/>
          <w:sz w:val="20"/>
          <w:szCs w:val="20"/>
          <w:vertAlign w:val="superscript"/>
          <w:lang w:eastAsia="en-US"/>
        </w:rPr>
        <w:t>er</w:t>
      </w:r>
      <w:r>
        <w:rPr>
          <w:rFonts w:asciiTheme="minorHAnsi" w:hAnsiTheme="minorHAnsi" w:cstheme="minorHAnsi"/>
          <w:sz w:val="20"/>
          <w:szCs w:val="20"/>
          <w:lang w:eastAsia="en-US"/>
        </w:rPr>
        <w:t xml:space="preserve"> </w:t>
      </w:r>
      <w:r w:rsidRPr="00C320E0">
        <w:rPr>
          <w:rFonts w:asciiTheme="minorHAnsi" w:hAnsiTheme="minorHAnsi" w:cstheme="minorHAnsi"/>
          <w:sz w:val="20"/>
          <w:szCs w:val="20"/>
          <w:lang w:eastAsia="en-US"/>
        </w:rPr>
        <w:t>semestre 2019, en intégrant les opérations de croissance externe opérées en 2018, les majors européens enregistrent une croissance moyenne de leur activité de près de 10% par rapport au premier semestre 2018.</w:t>
      </w:r>
    </w:p>
    <w:p w14:paraId="05D1AF2A" w14:textId="77777777" w:rsidR="00C320E0" w:rsidRPr="00C320E0" w:rsidRDefault="00C320E0" w:rsidP="00C320E0">
      <w:pPr>
        <w:autoSpaceDE w:val="0"/>
        <w:autoSpaceDN w:val="0"/>
        <w:adjustRightInd w:val="0"/>
        <w:rPr>
          <w:rFonts w:ascii="DINNextLTPro-Bold" w:hAnsi="DINNextLTPro-Bold" w:cs="DINNextLTPro-Bold"/>
          <w:b/>
          <w:bCs/>
          <w:color w:val="000000"/>
          <w:sz w:val="20"/>
          <w:szCs w:val="20"/>
          <w:lang w:eastAsia="en-US"/>
        </w:rPr>
      </w:pPr>
    </w:p>
    <w:p w14:paraId="58399807" w14:textId="77777777" w:rsidR="00193BB8" w:rsidRPr="00D91963" w:rsidRDefault="004C77D4" w:rsidP="00D91963">
      <w:pPr>
        <w:autoSpaceDE w:val="0"/>
        <w:autoSpaceDN w:val="0"/>
        <w:adjustRightInd w:val="0"/>
        <w:jc w:val="both"/>
        <w:rPr>
          <w:rFonts w:asciiTheme="minorHAnsi" w:hAnsiTheme="minorHAnsi" w:cstheme="minorHAnsi"/>
          <w:sz w:val="20"/>
          <w:szCs w:val="20"/>
          <w:lang w:eastAsia="en-US"/>
        </w:rPr>
      </w:pPr>
      <w:r w:rsidRPr="00D91963">
        <w:rPr>
          <w:rFonts w:asciiTheme="minorHAnsi" w:hAnsiTheme="minorHAnsi" w:cstheme="minorHAnsi"/>
          <w:sz w:val="20"/>
          <w:szCs w:val="20"/>
          <w:lang w:eastAsia="en-US"/>
        </w:rPr>
        <w:t xml:space="preserve">La pression exercée sur le marché doit s’analyser également eu égard à la pluralité des métiers et des implantations des majors européens du BTP. </w:t>
      </w:r>
      <w:r w:rsidR="00320313">
        <w:rPr>
          <w:rFonts w:asciiTheme="minorHAnsi" w:hAnsiTheme="minorHAnsi" w:cstheme="minorHAnsi"/>
          <w:sz w:val="20"/>
          <w:szCs w:val="20"/>
          <w:lang w:eastAsia="en-US"/>
        </w:rPr>
        <w:t>L</w:t>
      </w:r>
      <w:r w:rsidR="00BA7A0D" w:rsidRPr="00BA7A0D">
        <w:rPr>
          <w:rFonts w:asciiTheme="minorHAnsi" w:hAnsiTheme="minorHAnsi" w:cstheme="minorHAnsi"/>
          <w:sz w:val="20"/>
          <w:szCs w:val="20"/>
          <w:lang w:eastAsia="en-US"/>
        </w:rPr>
        <w:t>a reprise des investissements</w:t>
      </w:r>
      <w:r w:rsidR="00320313">
        <w:rPr>
          <w:rFonts w:asciiTheme="minorHAnsi" w:hAnsiTheme="minorHAnsi" w:cstheme="minorHAnsi"/>
          <w:sz w:val="20"/>
          <w:szCs w:val="20"/>
          <w:lang w:eastAsia="en-US"/>
        </w:rPr>
        <w:t xml:space="preserve"> en Europe</w:t>
      </w:r>
      <w:r w:rsidR="00BA7A0D" w:rsidRPr="00BA7A0D">
        <w:rPr>
          <w:rFonts w:asciiTheme="minorHAnsi" w:hAnsiTheme="minorHAnsi" w:cstheme="minorHAnsi"/>
          <w:sz w:val="20"/>
          <w:szCs w:val="20"/>
          <w:lang w:eastAsia="en-US"/>
        </w:rPr>
        <w:t xml:space="preserve"> a bénéficié principalement aux infrastructures de transports et aux grands projets (Grand Paris Express, Cross Rail à Londres, </w:t>
      </w:r>
      <w:proofErr w:type="spellStart"/>
      <w:r w:rsidR="00BA7A0D" w:rsidRPr="00BA7A0D">
        <w:rPr>
          <w:rFonts w:asciiTheme="minorHAnsi" w:hAnsiTheme="minorHAnsi" w:cstheme="minorHAnsi"/>
          <w:sz w:val="20"/>
          <w:szCs w:val="20"/>
          <w:lang w:eastAsia="en-US"/>
        </w:rPr>
        <w:t>Greater</w:t>
      </w:r>
      <w:proofErr w:type="spellEnd"/>
      <w:r w:rsidR="00BA7A0D" w:rsidRPr="00BA7A0D">
        <w:rPr>
          <w:rFonts w:asciiTheme="minorHAnsi" w:hAnsiTheme="minorHAnsi" w:cstheme="minorHAnsi"/>
          <w:sz w:val="20"/>
          <w:szCs w:val="20"/>
          <w:lang w:eastAsia="en-US"/>
        </w:rPr>
        <w:t xml:space="preserve"> Dublin, etc.). </w:t>
      </w:r>
      <w:r w:rsidR="00193BB8" w:rsidRPr="00D91963">
        <w:rPr>
          <w:rFonts w:asciiTheme="minorHAnsi" w:hAnsiTheme="minorHAnsi" w:cstheme="minorHAnsi"/>
          <w:sz w:val="20"/>
          <w:szCs w:val="20"/>
          <w:lang w:eastAsia="en-US"/>
        </w:rPr>
        <w:t xml:space="preserve">La poursuite du Plan Junker devrait permettre de financer 125 milliards d'euros d'investissements d'ici fin 2020 (pour un total de 500 milliards depuis son lancement en 2014/2015). </w:t>
      </w:r>
    </w:p>
    <w:p w14:paraId="348A201B" w14:textId="77777777" w:rsidR="003B4C41" w:rsidRPr="004C77D4" w:rsidRDefault="003B4C41" w:rsidP="004C77D4">
      <w:pPr>
        <w:autoSpaceDE w:val="0"/>
        <w:autoSpaceDN w:val="0"/>
        <w:adjustRightInd w:val="0"/>
        <w:jc w:val="both"/>
        <w:rPr>
          <w:rFonts w:ascii="DINNextLTPro-Regular" w:hAnsi="DINNextLTPro-Regular" w:cs="DINNextLTPro-Regular"/>
          <w:sz w:val="20"/>
          <w:szCs w:val="20"/>
          <w:lang w:eastAsia="en-US"/>
        </w:rPr>
      </w:pPr>
    </w:p>
    <w:p w14:paraId="31FE844D" w14:textId="77777777" w:rsidR="00BA7A0D" w:rsidRDefault="00BA7A0D" w:rsidP="00BA7A0D">
      <w:pPr>
        <w:autoSpaceDE w:val="0"/>
        <w:autoSpaceDN w:val="0"/>
        <w:adjustRightInd w:val="0"/>
        <w:jc w:val="both"/>
        <w:rPr>
          <w:rFonts w:asciiTheme="minorHAnsi" w:hAnsiTheme="minorHAnsi" w:cstheme="minorHAnsi"/>
          <w:sz w:val="20"/>
          <w:szCs w:val="20"/>
          <w:lang w:eastAsia="en-US"/>
        </w:rPr>
      </w:pPr>
    </w:p>
    <w:p w14:paraId="0C26454F" w14:textId="77777777" w:rsidR="00BA7A0D" w:rsidRPr="00BA7A0D" w:rsidRDefault="00BA7A0D" w:rsidP="00BA7A0D">
      <w:pPr>
        <w:autoSpaceDE w:val="0"/>
        <w:autoSpaceDN w:val="0"/>
        <w:adjustRightInd w:val="0"/>
        <w:jc w:val="both"/>
        <w:rPr>
          <w:rFonts w:ascii="DINNextLTPro-Regular" w:hAnsi="DINNextLTPro-Regular" w:cs="DINNextLTPro-Regular"/>
          <w:sz w:val="20"/>
          <w:szCs w:val="20"/>
          <w:lang w:eastAsia="en-US"/>
        </w:rPr>
      </w:pPr>
      <w:r>
        <w:rPr>
          <w:rFonts w:ascii="DINNextLTPro-Regular" w:hAnsi="DINNextLTPro-Regular" w:cs="DINNextLTPro-Regular"/>
          <w:sz w:val="20"/>
          <w:szCs w:val="20"/>
          <w:lang w:eastAsia="en-US"/>
        </w:rPr>
        <w:t>Ailleurs dans le monde, la demande est également riche de projets de grande ampleur et de plus en plus complexes qui nécessitent de « supers acteurs ». Dans un marché qui reste peu concentré, les majors se distinguent déjà par leur taille, la variété de leurs expertises, leur esprit d’innovation, leurs implantations géographiques, leur force de frappe et leur capacité d’adaptation.</w:t>
      </w:r>
      <w:r w:rsidR="00BE22B4">
        <w:rPr>
          <w:rFonts w:ascii="DINNextLTPro-Regular" w:hAnsi="DINNextLTPro-Regular" w:cs="DINNextLTPro-Regular"/>
          <w:sz w:val="20"/>
          <w:szCs w:val="20"/>
          <w:lang w:eastAsia="en-US"/>
        </w:rPr>
        <w:t xml:space="preserve"> </w:t>
      </w:r>
      <w:r>
        <w:rPr>
          <w:rFonts w:ascii="DINNextLTPro-Regular" w:hAnsi="DINNextLTPro-Regular" w:cs="DINNextLTPro-Regular"/>
          <w:sz w:val="20"/>
          <w:szCs w:val="20"/>
          <w:lang w:eastAsia="en-US"/>
        </w:rPr>
        <w:t xml:space="preserve">Les opérations de croissance externe, notamment sur des marchés porteurs tels que l’Australie et les États-Unis, le projet italien de création d’un champion national autour de </w:t>
      </w:r>
      <w:proofErr w:type="spellStart"/>
      <w:r>
        <w:rPr>
          <w:rFonts w:ascii="DINNextLTPro-Regular" w:hAnsi="DINNextLTPro-Regular" w:cs="DINNextLTPro-Regular"/>
          <w:sz w:val="20"/>
          <w:szCs w:val="20"/>
          <w:lang w:eastAsia="en-US"/>
        </w:rPr>
        <w:t>Salini</w:t>
      </w:r>
      <w:proofErr w:type="spellEnd"/>
      <w:r>
        <w:rPr>
          <w:rFonts w:ascii="DINNextLTPro-Regular" w:hAnsi="DINNextLTPro-Regular" w:cs="DINNextLTPro-Regular"/>
          <w:sz w:val="20"/>
          <w:szCs w:val="20"/>
          <w:lang w:eastAsia="en-US"/>
        </w:rPr>
        <w:t xml:space="preserve"> </w:t>
      </w:r>
      <w:proofErr w:type="spellStart"/>
      <w:r>
        <w:rPr>
          <w:rFonts w:ascii="DINNextLTPro-Regular" w:hAnsi="DINNextLTPro-Regular" w:cs="DINNextLTPro-Regular"/>
          <w:sz w:val="20"/>
          <w:szCs w:val="20"/>
          <w:lang w:eastAsia="en-US"/>
        </w:rPr>
        <w:t>Impregilo</w:t>
      </w:r>
      <w:proofErr w:type="spellEnd"/>
      <w:r>
        <w:rPr>
          <w:rFonts w:ascii="DINNextLTPro-Regular" w:hAnsi="DINNextLTPro-Regular" w:cs="DINNextLTPro-Regular"/>
          <w:sz w:val="20"/>
          <w:szCs w:val="20"/>
          <w:lang w:eastAsia="en-US"/>
        </w:rPr>
        <w:t xml:space="preserve">, l’éclatement du marché au Royaume-Uni, </w:t>
      </w:r>
      <w:r w:rsidR="00B665E3">
        <w:rPr>
          <w:rFonts w:ascii="DINNextLTPro-Regular" w:hAnsi="DINNextLTPro-Regular" w:cs="DINNextLTPro-Regular"/>
          <w:sz w:val="20"/>
          <w:szCs w:val="20"/>
          <w:lang w:eastAsia="en-US"/>
        </w:rPr>
        <w:t>ainsi que</w:t>
      </w:r>
      <w:r>
        <w:rPr>
          <w:rFonts w:ascii="DINNextLTPro-Regular" w:hAnsi="DINNextLTPro-Regular" w:cs="DINNextLTPro-Regular"/>
          <w:sz w:val="20"/>
          <w:szCs w:val="20"/>
          <w:lang w:eastAsia="en-US"/>
        </w:rPr>
        <w:t xml:space="preserve"> la taille et la complexité de certains projets peuvent amener à </w:t>
      </w:r>
      <w:r w:rsidR="00BE22B4">
        <w:rPr>
          <w:rFonts w:ascii="DINNextLTPro-Regular" w:hAnsi="DINNextLTPro-Regular" w:cs="DINNextLTPro-Regular"/>
          <w:sz w:val="20"/>
          <w:szCs w:val="20"/>
          <w:lang w:eastAsia="en-US"/>
        </w:rPr>
        <w:t>s’</w:t>
      </w:r>
      <w:r>
        <w:rPr>
          <w:rFonts w:ascii="DINNextLTPro-Regular" w:hAnsi="DINNextLTPro-Regular" w:cs="DINNextLTPro-Regular"/>
          <w:sz w:val="20"/>
          <w:szCs w:val="20"/>
          <w:lang w:eastAsia="en-US"/>
        </w:rPr>
        <w:t>interroger sur de futures opportunités de concentration.</w:t>
      </w:r>
    </w:p>
    <w:p w14:paraId="333D982E" w14:textId="77777777" w:rsidR="00971C96" w:rsidRPr="00BF16DD" w:rsidRDefault="0042537B" w:rsidP="00A41FBF">
      <w:pPr>
        <w:pStyle w:val="NormalWeb"/>
        <w:jc w:val="both"/>
        <w:rPr>
          <w:rFonts w:asciiTheme="minorHAnsi" w:hAnsiTheme="minorHAnsi" w:cstheme="minorHAnsi"/>
          <w:b/>
          <w:bCs/>
          <w:sz w:val="20"/>
          <w:szCs w:val="20"/>
        </w:rPr>
      </w:pPr>
      <w:r w:rsidRPr="00BF16DD">
        <w:rPr>
          <w:rFonts w:asciiTheme="minorHAnsi" w:hAnsiTheme="minorHAnsi" w:cstheme="minorHAnsi"/>
          <w:b/>
          <w:bCs/>
          <w:sz w:val="20"/>
          <w:szCs w:val="20"/>
        </w:rPr>
        <w:t>L’enjeu écologique : vers un futur plus vert pour les majors</w:t>
      </w:r>
    </w:p>
    <w:p w14:paraId="5D03E431" w14:textId="77777777" w:rsidR="008A43AA" w:rsidRPr="00BF16DD" w:rsidRDefault="008A43AA" w:rsidP="008A43AA">
      <w:pPr>
        <w:autoSpaceDE w:val="0"/>
        <w:autoSpaceDN w:val="0"/>
        <w:adjustRightInd w:val="0"/>
        <w:jc w:val="both"/>
        <w:rPr>
          <w:rFonts w:asciiTheme="minorHAnsi" w:hAnsiTheme="minorHAnsi" w:cstheme="minorHAnsi"/>
          <w:sz w:val="20"/>
          <w:szCs w:val="20"/>
          <w:lang w:eastAsia="en-US"/>
        </w:rPr>
      </w:pPr>
      <w:r w:rsidRPr="00BF16DD">
        <w:rPr>
          <w:rFonts w:asciiTheme="minorHAnsi" w:hAnsiTheme="minorHAnsi" w:cstheme="minorHAnsi"/>
          <w:sz w:val="20"/>
          <w:szCs w:val="20"/>
          <w:lang w:eastAsia="en-US"/>
        </w:rPr>
        <w:t xml:space="preserve">Mobilisés pour relever les défis du Plan Climat 2017 et répondre aux règlementations sur le bas carbone de la future loi Énergie, les majors </w:t>
      </w:r>
      <w:r w:rsidR="00BB0B02" w:rsidRPr="00BF16DD">
        <w:rPr>
          <w:rFonts w:asciiTheme="minorHAnsi" w:hAnsiTheme="minorHAnsi" w:cstheme="minorHAnsi"/>
          <w:sz w:val="20"/>
          <w:szCs w:val="20"/>
          <w:lang w:eastAsia="en-US"/>
        </w:rPr>
        <w:t>cherchent à</w:t>
      </w:r>
      <w:r w:rsidRPr="00BF16DD">
        <w:rPr>
          <w:rFonts w:asciiTheme="minorHAnsi" w:hAnsiTheme="minorHAnsi" w:cstheme="minorHAnsi"/>
          <w:sz w:val="20"/>
          <w:szCs w:val="20"/>
          <w:lang w:eastAsia="en-US"/>
        </w:rPr>
        <w:t xml:space="preserve"> réduire leur impact écologique pour tendre vers une neutralité carbone en 2050. Convaincus du fort potentiel de la filière bois, les</w:t>
      </w:r>
      <w:r w:rsidR="00DA5215" w:rsidRPr="00BF16DD">
        <w:rPr>
          <w:rFonts w:asciiTheme="minorHAnsi" w:hAnsiTheme="minorHAnsi" w:cstheme="minorHAnsi"/>
          <w:sz w:val="20"/>
          <w:szCs w:val="20"/>
          <w:lang w:eastAsia="en-US"/>
        </w:rPr>
        <w:t xml:space="preserve"> groupes</w:t>
      </w:r>
      <w:r w:rsidRPr="00BF16DD">
        <w:rPr>
          <w:rFonts w:asciiTheme="minorHAnsi" w:hAnsiTheme="minorHAnsi" w:cstheme="minorHAnsi"/>
          <w:sz w:val="20"/>
          <w:szCs w:val="20"/>
          <w:lang w:eastAsia="en-US"/>
        </w:rPr>
        <w:t xml:space="preserve"> français n’hésitent pas à investir sur ce marché. Ils entendent développer leur savoir-faire en misant sur l’innovation, la construction modulaire tridimensionnelle, ainsi que</w:t>
      </w:r>
      <w:r w:rsidR="00BB0B02" w:rsidRPr="00BF16DD">
        <w:rPr>
          <w:rFonts w:asciiTheme="minorHAnsi" w:hAnsiTheme="minorHAnsi" w:cstheme="minorHAnsi"/>
          <w:sz w:val="20"/>
          <w:szCs w:val="20"/>
          <w:lang w:eastAsia="en-US"/>
        </w:rPr>
        <w:t xml:space="preserve"> sur</w:t>
      </w:r>
      <w:r w:rsidRPr="00BF16DD">
        <w:rPr>
          <w:rFonts w:asciiTheme="minorHAnsi" w:hAnsiTheme="minorHAnsi" w:cstheme="minorHAnsi"/>
          <w:sz w:val="20"/>
          <w:szCs w:val="20"/>
          <w:lang w:eastAsia="en-US"/>
        </w:rPr>
        <w:t xml:space="preserve"> la construction d’immeubles </w:t>
      </w:r>
      <w:r w:rsidR="00BB0B02" w:rsidRPr="00BF16DD">
        <w:rPr>
          <w:rFonts w:asciiTheme="minorHAnsi" w:hAnsiTheme="minorHAnsi" w:cstheme="minorHAnsi"/>
          <w:sz w:val="20"/>
          <w:szCs w:val="20"/>
          <w:lang w:eastAsia="en-US"/>
        </w:rPr>
        <w:t xml:space="preserve">de belle hauteur </w:t>
      </w:r>
      <w:r w:rsidRPr="00BF16DD">
        <w:rPr>
          <w:rFonts w:asciiTheme="minorHAnsi" w:hAnsiTheme="minorHAnsi" w:cstheme="minorHAnsi"/>
          <w:sz w:val="20"/>
          <w:szCs w:val="20"/>
          <w:lang w:eastAsia="en-US"/>
        </w:rPr>
        <w:t>en structure bois afin d’être de véritables acteurs de l’essor des modes constructifs décarbonés en France.</w:t>
      </w:r>
    </w:p>
    <w:p w14:paraId="79561093" w14:textId="77777777" w:rsidR="008A43AA" w:rsidRPr="00BF16DD" w:rsidRDefault="008A43AA" w:rsidP="008A43AA">
      <w:pPr>
        <w:autoSpaceDE w:val="0"/>
        <w:autoSpaceDN w:val="0"/>
        <w:adjustRightInd w:val="0"/>
        <w:rPr>
          <w:rFonts w:asciiTheme="minorHAnsi" w:hAnsiTheme="minorHAnsi" w:cstheme="minorHAnsi"/>
          <w:color w:val="000000"/>
          <w:sz w:val="20"/>
          <w:szCs w:val="20"/>
          <w:lang w:eastAsia="en-US"/>
        </w:rPr>
      </w:pPr>
    </w:p>
    <w:p w14:paraId="75C6E35E" w14:textId="77777777" w:rsidR="005F1775" w:rsidRPr="00BF16DD" w:rsidRDefault="009A36AD" w:rsidP="009A36AD">
      <w:pPr>
        <w:autoSpaceDE w:val="0"/>
        <w:autoSpaceDN w:val="0"/>
        <w:adjustRightInd w:val="0"/>
        <w:jc w:val="both"/>
        <w:rPr>
          <w:rFonts w:asciiTheme="minorHAnsi" w:hAnsiTheme="minorHAnsi" w:cstheme="minorHAnsi"/>
          <w:sz w:val="20"/>
          <w:szCs w:val="20"/>
          <w:lang w:eastAsia="en-US"/>
        </w:rPr>
      </w:pPr>
      <w:r w:rsidRPr="00BF16DD">
        <w:rPr>
          <w:rFonts w:asciiTheme="minorHAnsi" w:hAnsiTheme="minorHAnsi" w:cstheme="minorHAnsi"/>
          <w:sz w:val="20"/>
          <w:szCs w:val="20"/>
          <w:lang w:eastAsia="en-US"/>
        </w:rPr>
        <w:lastRenderedPageBreak/>
        <w:t>La Smart city</w:t>
      </w:r>
      <w:r w:rsidR="00331130">
        <w:rPr>
          <w:rFonts w:asciiTheme="minorHAnsi" w:hAnsiTheme="minorHAnsi" w:cstheme="minorHAnsi"/>
          <w:sz w:val="20"/>
          <w:szCs w:val="20"/>
          <w:lang w:eastAsia="en-US"/>
        </w:rPr>
        <w:t xml:space="preserve"> </w:t>
      </w:r>
      <w:r w:rsidRPr="00BF16DD">
        <w:rPr>
          <w:rFonts w:asciiTheme="minorHAnsi" w:hAnsiTheme="minorHAnsi" w:cstheme="minorHAnsi"/>
          <w:sz w:val="20"/>
          <w:szCs w:val="20"/>
          <w:lang w:eastAsia="en-US"/>
        </w:rPr>
        <w:t>pourra aussi apporter une réponse efficace aux défis climatiques</w:t>
      </w:r>
      <w:r w:rsidR="00D12BEE">
        <w:rPr>
          <w:rFonts w:asciiTheme="minorHAnsi" w:hAnsiTheme="minorHAnsi" w:cstheme="minorHAnsi"/>
          <w:sz w:val="20"/>
          <w:szCs w:val="20"/>
          <w:lang w:eastAsia="en-US"/>
        </w:rPr>
        <w:t xml:space="preserve"> </w:t>
      </w:r>
      <w:r w:rsidR="00331130" w:rsidRPr="00D12BEE">
        <w:rPr>
          <w:rFonts w:asciiTheme="minorHAnsi" w:hAnsiTheme="minorHAnsi" w:cstheme="minorHAnsi"/>
          <w:sz w:val="20"/>
          <w:szCs w:val="20"/>
          <w:lang w:eastAsia="en-US"/>
        </w:rPr>
        <w:t>en repensant la</w:t>
      </w:r>
      <w:r w:rsidR="00D12BEE">
        <w:rPr>
          <w:rFonts w:asciiTheme="minorHAnsi" w:hAnsiTheme="minorHAnsi" w:cstheme="minorHAnsi"/>
          <w:sz w:val="20"/>
          <w:szCs w:val="20"/>
          <w:lang w:eastAsia="en-US"/>
        </w:rPr>
        <w:t xml:space="preserve"> </w:t>
      </w:r>
      <w:r w:rsidR="00331130" w:rsidRPr="00D12BEE">
        <w:rPr>
          <w:rFonts w:asciiTheme="minorHAnsi" w:hAnsiTheme="minorHAnsi" w:cstheme="minorHAnsi"/>
          <w:sz w:val="20"/>
          <w:szCs w:val="20"/>
          <w:lang w:eastAsia="en-US"/>
        </w:rPr>
        <w:t>ville tout en incluant les habitants</w:t>
      </w:r>
      <w:r w:rsidR="00D12BEE">
        <w:rPr>
          <w:rFonts w:asciiTheme="minorHAnsi" w:hAnsiTheme="minorHAnsi" w:cstheme="minorHAnsi"/>
          <w:sz w:val="20"/>
          <w:szCs w:val="20"/>
          <w:lang w:eastAsia="en-US"/>
        </w:rPr>
        <w:t xml:space="preserve"> </w:t>
      </w:r>
      <w:r w:rsidR="00331130" w:rsidRPr="00D12BEE">
        <w:rPr>
          <w:rFonts w:asciiTheme="minorHAnsi" w:hAnsiTheme="minorHAnsi" w:cstheme="minorHAnsi"/>
          <w:sz w:val="20"/>
          <w:szCs w:val="20"/>
          <w:lang w:eastAsia="en-US"/>
        </w:rPr>
        <w:t>et l’administration autour du</w:t>
      </w:r>
      <w:r w:rsidR="00D12BEE">
        <w:rPr>
          <w:rFonts w:asciiTheme="minorHAnsi" w:hAnsiTheme="minorHAnsi" w:cstheme="minorHAnsi"/>
          <w:sz w:val="20"/>
          <w:szCs w:val="20"/>
          <w:lang w:eastAsia="en-US"/>
        </w:rPr>
        <w:t xml:space="preserve"> </w:t>
      </w:r>
      <w:r w:rsidR="00331130" w:rsidRPr="00D12BEE">
        <w:rPr>
          <w:rFonts w:asciiTheme="minorHAnsi" w:hAnsiTheme="minorHAnsi" w:cstheme="minorHAnsi"/>
          <w:sz w:val="20"/>
          <w:szCs w:val="20"/>
          <w:lang w:eastAsia="en-US"/>
        </w:rPr>
        <w:t>développement d’une économie,</w:t>
      </w:r>
      <w:r w:rsidR="00D12BEE">
        <w:rPr>
          <w:rFonts w:asciiTheme="minorHAnsi" w:hAnsiTheme="minorHAnsi" w:cstheme="minorHAnsi"/>
          <w:sz w:val="20"/>
          <w:szCs w:val="20"/>
          <w:lang w:eastAsia="en-US"/>
        </w:rPr>
        <w:t xml:space="preserve"> </w:t>
      </w:r>
      <w:r w:rsidR="00331130" w:rsidRPr="00D12BEE">
        <w:rPr>
          <w:rFonts w:asciiTheme="minorHAnsi" w:hAnsiTheme="minorHAnsi" w:cstheme="minorHAnsi"/>
          <w:sz w:val="20"/>
          <w:szCs w:val="20"/>
          <w:lang w:eastAsia="en-US"/>
        </w:rPr>
        <w:t>d’une mobilité, d’un environnement</w:t>
      </w:r>
      <w:r w:rsidR="00D12BEE">
        <w:rPr>
          <w:rFonts w:asciiTheme="minorHAnsi" w:hAnsiTheme="minorHAnsi" w:cstheme="minorHAnsi"/>
          <w:sz w:val="20"/>
          <w:szCs w:val="20"/>
          <w:lang w:eastAsia="en-US"/>
        </w:rPr>
        <w:t xml:space="preserve"> </w:t>
      </w:r>
      <w:r w:rsidR="00331130" w:rsidRPr="00D12BEE">
        <w:rPr>
          <w:rFonts w:asciiTheme="minorHAnsi" w:hAnsiTheme="minorHAnsi" w:cstheme="minorHAnsi"/>
          <w:sz w:val="20"/>
          <w:szCs w:val="20"/>
          <w:lang w:eastAsia="en-US"/>
        </w:rPr>
        <w:t>et un mode de vie intelligent.</w:t>
      </w:r>
      <w:r w:rsidR="00D12BEE">
        <w:rPr>
          <w:rFonts w:asciiTheme="minorHAnsi" w:hAnsiTheme="minorHAnsi" w:cstheme="minorHAnsi"/>
          <w:sz w:val="20"/>
          <w:szCs w:val="20"/>
          <w:lang w:eastAsia="en-US"/>
        </w:rPr>
        <w:t xml:space="preserve"> </w:t>
      </w:r>
      <w:r w:rsidR="005F1775" w:rsidRPr="00BF16DD">
        <w:rPr>
          <w:rFonts w:asciiTheme="minorHAnsi" w:hAnsiTheme="minorHAnsi" w:cstheme="minorHAnsi"/>
          <w:sz w:val="20"/>
          <w:szCs w:val="20"/>
          <w:lang w:eastAsia="en-US"/>
        </w:rPr>
        <w:t>25 communes françaises, dont les</w:t>
      </w:r>
      <w:r w:rsidRPr="00BF16DD">
        <w:rPr>
          <w:rFonts w:asciiTheme="minorHAnsi" w:hAnsiTheme="minorHAnsi" w:cstheme="minorHAnsi"/>
          <w:sz w:val="20"/>
          <w:szCs w:val="20"/>
          <w:lang w:eastAsia="en-US"/>
        </w:rPr>
        <w:t xml:space="preserve"> grandes</w:t>
      </w:r>
      <w:r w:rsidR="005F1775" w:rsidRPr="00BF16DD">
        <w:rPr>
          <w:rFonts w:asciiTheme="minorHAnsi" w:hAnsiTheme="minorHAnsi" w:cstheme="minorHAnsi"/>
          <w:sz w:val="20"/>
          <w:szCs w:val="20"/>
          <w:lang w:eastAsia="en-US"/>
        </w:rPr>
        <w:t xml:space="preserve"> métropoles, se sont lancées en 2018 dans le développement de </w:t>
      </w:r>
      <w:r w:rsidRPr="00BF16DD">
        <w:rPr>
          <w:rFonts w:asciiTheme="minorHAnsi" w:hAnsiTheme="minorHAnsi" w:cstheme="minorHAnsi"/>
          <w:sz w:val="20"/>
          <w:szCs w:val="20"/>
          <w:lang w:eastAsia="en-US"/>
        </w:rPr>
        <w:t xml:space="preserve">ces </w:t>
      </w:r>
      <w:r w:rsidR="005F1775" w:rsidRPr="00BF16DD">
        <w:rPr>
          <w:rFonts w:asciiTheme="minorHAnsi" w:hAnsiTheme="minorHAnsi" w:cstheme="minorHAnsi"/>
          <w:sz w:val="20"/>
          <w:szCs w:val="20"/>
          <w:lang w:eastAsia="en-US"/>
        </w:rPr>
        <w:t>services intelligents.</w:t>
      </w:r>
    </w:p>
    <w:p w14:paraId="6A0D72AD" w14:textId="77777777" w:rsidR="009A36AD" w:rsidRPr="00BF16DD" w:rsidRDefault="009A36AD" w:rsidP="009A36AD">
      <w:pPr>
        <w:autoSpaceDE w:val="0"/>
        <w:autoSpaceDN w:val="0"/>
        <w:adjustRightInd w:val="0"/>
        <w:jc w:val="both"/>
        <w:rPr>
          <w:rFonts w:asciiTheme="minorHAnsi" w:hAnsiTheme="minorHAnsi" w:cstheme="minorHAnsi"/>
          <w:sz w:val="20"/>
          <w:szCs w:val="20"/>
        </w:rPr>
      </w:pPr>
    </w:p>
    <w:p w14:paraId="20F5357C" w14:textId="77777777" w:rsidR="00B23440" w:rsidRPr="00BF16DD" w:rsidRDefault="00EF1A1B" w:rsidP="00A15BEF">
      <w:pPr>
        <w:autoSpaceDE w:val="0"/>
        <w:autoSpaceDN w:val="0"/>
        <w:adjustRightInd w:val="0"/>
        <w:jc w:val="both"/>
        <w:rPr>
          <w:rFonts w:asciiTheme="minorHAnsi" w:hAnsiTheme="minorHAnsi" w:cstheme="minorHAnsi"/>
          <w:i/>
          <w:iCs/>
          <w:sz w:val="20"/>
          <w:szCs w:val="20"/>
        </w:rPr>
      </w:pPr>
      <w:r w:rsidRPr="00BF16DD">
        <w:rPr>
          <w:rFonts w:asciiTheme="minorHAnsi" w:hAnsiTheme="minorHAnsi" w:cstheme="minorHAnsi"/>
          <w:i/>
          <w:iCs/>
          <w:sz w:val="20"/>
          <w:szCs w:val="20"/>
          <w:lang w:eastAsia="en-US"/>
        </w:rPr>
        <w:t xml:space="preserve">« Pour répondre aux défis climatiques, </w:t>
      </w:r>
      <w:r w:rsidR="00B713DB" w:rsidRPr="00BF16DD">
        <w:rPr>
          <w:rFonts w:asciiTheme="minorHAnsi" w:hAnsiTheme="minorHAnsi" w:cstheme="minorHAnsi"/>
          <w:i/>
          <w:iCs/>
          <w:sz w:val="20"/>
          <w:szCs w:val="20"/>
          <w:lang w:eastAsia="en-US"/>
        </w:rPr>
        <w:t xml:space="preserve">les groupes </w:t>
      </w:r>
      <w:r w:rsidRPr="00BF16DD">
        <w:rPr>
          <w:rFonts w:asciiTheme="minorHAnsi" w:hAnsiTheme="minorHAnsi" w:cstheme="minorHAnsi"/>
          <w:i/>
          <w:iCs/>
          <w:sz w:val="20"/>
          <w:szCs w:val="20"/>
          <w:lang w:eastAsia="en-US"/>
        </w:rPr>
        <w:t xml:space="preserve">rappellent à travers leurs rapports annuels l’attention qu’ils portent au respect de l’environnement lors de l’exécution de leurs travaux et misent sur l’innovation pour réduire l’impact carbone de leurs activités. En 2019, </w:t>
      </w:r>
      <w:r w:rsidR="00B713DB" w:rsidRPr="00BF16DD">
        <w:rPr>
          <w:rFonts w:asciiTheme="minorHAnsi" w:hAnsiTheme="minorHAnsi" w:cstheme="minorHAnsi"/>
          <w:i/>
          <w:iCs/>
          <w:sz w:val="20"/>
          <w:szCs w:val="20"/>
          <w:lang w:eastAsia="en-US"/>
        </w:rPr>
        <w:t>ils</w:t>
      </w:r>
      <w:r w:rsidRPr="00BF16DD">
        <w:rPr>
          <w:rFonts w:asciiTheme="minorHAnsi" w:hAnsiTheme="minorHAnsi" w:cstheme="minorHAnsi"/>
          <w:i/>
          <w:iCs/>
          <w:sz w:val="20"/>
          <w:szCs w:val="20"/>
          <w:lang w:eastAsia="en-US"/>
        </w:rPr>
        <w:t xml:space="preserve"> souhaitent par ailleurs poursuivre l’amélioration de leur</w:t>
      </w:r>
      <w:r w:rsidR="00970E85">
        <w:rPr>
          <w:rFonts w:asciiTheme="minorHAnsi" w:hAnsiTheme="minorHAnsi" w:cstheme="minorHAnsi"/>
          <w:i/>
          <w:iCs/>
          <w:sz w:val="20"/>
          <w:szCs w:val="20"/>
          <w:lang w:eastAsia="en-US"/>
        </w:rPr>
        <w:t>s</w:t>
      </w:r>
      <w:r w:rsidRPr="00BF16DD">
        <w:rPr>
          <w:rFonts w:asciiTheme="minorHAnsi" w:hAnsiTheme="minorHAnsi" w:cstheme="minorHAnsi"/>
          <w:i/>
          <w:iCs/>
          <w:sz w:val="20"/>
          <w:szCs w:val="20"/>
          <w:lang w:eastAsia="en-US"/>
        </w:rPr>
        <w:t xml:space="preserve"> marge</w:t>
      </w:r>
      <w:r w:rsidR="00970E85">
        <w:rPr>
          <w:rFonts w:asciiTheme="minorHAnsi" w:hAnsiTheme="minorHAnsi" w:cstheme="minorHAnsi"/>
          <w:i/>
          <w:iCs/>
          <w:sz w:val="20"/>
          <w:szCs w:val="20"/>
          <w:lang w:eastAsia="en-US"/>
        </w:rPr>
        <w:t>s</w:t>
      </w:r>
      <w:r w:rsidRPr="00BF16DD">
        <w:rPr>
          <w:rFonts w:asciiTheme="minorHAnsi" w:hAnsiTheme="minorHAnsi" w:cstheme="minorHAnsi"/>
          <w:i/>
          <w:iCs/>
          <w:sz w:val="20"/>
          <w:szCs w:val="20"/>
          <w:lang w:eastAsia="en-US"/>
        </w:rPr>
        <w:t xml:space="preserve"> et le déploiement de leur</w:t>
      </w:r>
      <w:r w:rsidR="00970E85">
        <w:rPr>
          <w:rFonts w:asciiTheme="minorHAnsi" w:hAnsiTheme="minorHAnsi" w:cstheme="minorHAnsi"/>
          <w:i/>
          <w:iCs/>
          <w:sz w:val="20"/>
          <w:szCs w:val="20"/>
          <w:lang w:eastAsia="en-US"/>
        </w:rPr>
        <w:t>s</w:t>
      </w:r>
      <w:r w:rsidRPr="00BF16DD">
        <w:rPr>
          <w:rFonts w:asciiTheme="minorHAnsi" w:hAnsiTheme="minorHAnsi" w:cstheme="minorHAnsi"/>
          <w:i/>
          <w:iCs/>
          <w:sz w:val="20"/>
          <w:szCs w:val="20"/>
          <w:lang w:eastAsia="en-US"/>
        </w:rPr>
        <w:t xml:space="preserve"> politique</w:t>
      </w:r>
      <w:r w:rsidR="00970E85">
        <w:rPr>
          <w:rFonts w:asciiTheme="minorHAnsi" w:hAnsiTheme="minorHAnsi" w:cstheme="minorHAnsi"/>
          <w:i/>
          <w:iCs/>
          <w:sz w:val="20"/>
          <w:szCs w:val="20"/>
          <w:lang w:eastAsia="en-US"/>
        </w:rPr>
        <w:t>s</w:t>
      </w:r>
      <w:r w:rsidRPr="00BF16DD">
        <w:rPr>
          <w:rFonts w:asciiTheme="minorHAnsi" w:hAnsiTheme="minorHAnsi" w:cstheme="minorHAnsi"/>
          <w:i/>
          <w:iCs/>
          <w:sz w:val="20"/>
          <w:szCs w:val="20"/>
          <w:lang w:eastAsia="en-US"/>
        </w:rPr>
        <w:t xml:space="preserve"> de transformation afin de répondre à la forte demande, à l’échelle mondiale, de projets de plus en plus complexes. »</w:t>
      </w:r>
      <w:r w:rsidRPr="00BF16DD">
        <w:rPr>
          <w:rFonts w:asciiTheme="minorHAnsi" w:hAnsiTheme="minorHAnsi" w:cstheme="minorHAnsi"/>
          <w:b/>
          <w:bCs/>
          <w:sz w:val="20"/>
          <w:szCs w:val="20"/>
          <w:lang w:eastAsia="en-US"/>
        </w:rPr>
        <w:t xml:space="preserve"> souligne Olivier </w:t>
      </w:r>
      <w:proofErr w:type="spellStart"/>
      <w:r w:rsidRPr="00BF16DD">
        <w:rPr>
          <w:rFonts w:asciiTheme="minorHAnsi" w:hAnsiTheme="minorHAnsi" w:cstheme="minorHAnsi"/>
          <w:b/>
          <w:bCs/>
          <w:sz w:val="20"/>
          <w:szCs w:val="20"/>
          <w:lang w:eastAsia="en-US"/>
        </w:rPr>
        <w:t>Thireau</w:t>
      </w:r>
      <w:proofErr w:type="spellEnd"/>
      <w:r w:rsidRPr="00BF16DD">
        <w:rPr>
          <w:rFonts w:asciiTheme="minorHAnsi" w:hAnsiTheme="minorHAnsi" w:cstheme="minorHAnsi"/>
          <w:b/>
          <w:bCs/>
          <w:sz w:val="20"/>
          <w:szCs w:val="20"/>
          <w:lang w:eastAsia="en-US"/>
        </w:rPr>
        <w:t>, Associé responsable Immobilier &amp; BTP chez Mazars France.</w:t>
      </w:r>
    </w:p>
    <w:p w14:paraId="7A119954" w14:textId="1D40A150" w:rsidR="000E738F" w:rsidRPr="00BF16DD" w:rsidRDefault="006823CC" w:rsidP="00444CCF">
      <w:pPr>
        <w:spacing w:before="240" w:line="269" w:lineRule="auto"/>
        <w:jc w:val="both"/>
        <w:rPr>
          <w:rFonts w:asciiTheme="minorHAnsi" w:hAnsiTheme="minorHAnsi" w:cstheme="minorHAnsi"/>
          <w:b/>
          <w:sz w:val="20"/>
          <w:szCs w:val="20"/>
          <w:lang w:eastAsia="en-US"/>
        </w:rPr>
      </w:pPr>
      <w:r w:rsidRPr="00BF16DD">
        <w:rPr>
          <w:rFonts w:asciiTheme="minorHAnsi" w:hAnsiTheme="minorHAnsi" w:cstheme="minorHAnsi"/>
          <w:b/>
          <w:sz w:val="20"/>
          <w:szCs w:val="20"/>
          <w:lang w:eastAsia="en-US"/>
        </w:rPr>
        <w:t xml:space="preserve">L’étude </w:t>
      </w:r>
      <w:r w:rsidR="00BA1216" w:rsidRPr="00BF16DD">
        <w:rPr>
          <w:rFonts w:asciiTheme="minorHAnsi" w:hAnsiTheme="minorHAnsi" w:cstheme="minorHAnsi"/>
          <w:b/>
          <w:bCs/>
          <w:sz w:val="20"/>
          <w:szCs w:val="20"/>
        </w:rPr>
        <w:t>« Les majors européens du BTP : un marché sous pression ? »</w:t>
      </w:r>
      <w:r w:rsidR="00010A80" w:rsidRPr="00BF16DD">
        <w:rPr>
          <w:rFonts w:asciiTheme="minorHAnsi" w:hAnsiTheme="minorHAnsi" w:cstheme="minorHAnsi"/>
          <w:b/>
          <w:sz w:val="20"/>
          <w:szCs w:val="20"/>
          <w:lang w:eastAsia="en-US"/>
        </w:rPr>
        <w:t xml:space="preserve"> </w:t>
      </w:r>
      <w:r w:rsidR="005628FC" w:rsidRPr="00BF16DD">
        <w:rPr>
          <w:rFonts w:asciiTheme="minorHAnsi" w:hAnsiTheme="minorHAnsi" w:cstheme="minorHAnsi"/>
          <w:b/>
          <w:sz w:val="20"/>
          <w:szCs w:val="20"/>
          <w:lang w:eastAsia="en-US"/>
        </w:rPr>
        <w:t>est disponible</w:t>
      </w:r>
      <w:r w:rsidRPr="00BF16DD">
        <w:rPr>
          <w:rFonts w:asciiTheme="minorHAnsi" w:hAnsiTheme="minorHAnsi" w:cstheme="minorHAnsi"/>
          <w:b/>
          <w:sz w:val="20"/>
          <w:szCs w:val="20"/>
          <w:lang w:eastAsia="en-US"/>
        </w:rPr>
        <w:t xml:space="preserve"> </w:t>
      </w:r>
      <w:hyperlink r:id="rId10" w:history="1">
        <w:r w:rsidRPr="00DD5B20">
          <w:rPr>
            <w:rStyle w:val="Lienhypertexte"/>
            <w:rFonts w:asciiTheme="minorHAnsi" w:hAnsiTheme="minorHAnsi" w:cstheme="minorHAnsi"/>
            <w:b/>
            <w:sz w:val="20"/>
            <w:szCs w:val="20"/>
            <w:lang w:eastAsia="en-US"/>
          </w:rPr>
          <w:t>i</w:t>
        </w:r>
        <w:bookmarkStart w:id="4" w:name="_GoBack"/>
        <w:bookmarkEnd w:id="4"/>
        <w:r w:rsidRPr="00DD5B20">
          <w:rPr>
            <w:rStyle w:val="Lienhypertexte"/>
            <w:rFonts w:asciiTheme="minorHAnsi" w:hAnsiTheme="minorHAnsi" w:cstheme="minorHAnsi"/>
            <w:b/>
            <w:sz w:val="20"/>
            <w:szCs w:val="20"/>
            <w:lang w:eastAsia="en-US"/>
          </w:rPr>
          <w:t>c</w:t>
        </w:r>
        <w:r w:rsidRPr="00DD5B20">
          <w:rPr>
            <w:rStyle w:val="Lienhypertexte"/>
            <w:rFonts w:asciiTheme="minorHAnsi" w:hAnsiTheme="minorHAnsi" w:cstheme="minorHAnsi"/>
            <w:b/>
            <w:sz w:val="20"/>
            <w:szCs w:val="20"/>
            <w:lang w:eastAsia="en-US"/>
          </w:rPr>
          <w:t>i</w:t>
        </w:r>
      </w:hyperlink>
    </w:p>
    <w:p w14:paraId="10343011" w14:textId="77777777" w:rsidR="00011AA6" w:rsidRDefault="00011AA6" w:rsidP="007429BC">
      <w:pPr>
        <w:jc w:val="both"/>
        <w:rPr>
          <w:rFonts w:ascii="Arial" w:hAnsi="Arial" w:cs="Arial"/>
          <w:b/>
          <w:sz w:val="16"/>
          <w:szCs w:val="16"/>
          <w:lang w:eastAsia="en-US"/>
        </w:rPr>
      </w:pPr>
    </w:p>
    <w:p w14:paraId="3D24BC17" w14:textId="77777777" w:rsidR="00A15BEF" w:rsidRDefault="00A15BEF" w:rsidP="007429BC">
      <w:pPr>
        <w:jc w:val="both"/>
        <w:rPr>
          <w:rFonts w:asciiTheme="minorHAnsi" w:hAnsiTheme="minorHAnsi" w:cstheme="minorHAnsi"/>
          <w:b/>
          <w:sz w:val="16"/>
          <w:szCs w:val="16"/>
          <w:lang w:eastAsia="en-US"/>
        </w:rPr>
      </w:pPr>
    </w:p>
    <w:p w14:paraId="455095DF" w14:textId="77777777" w:rsidR="00EC4469" w:rsidRPr="00350378" w:rsidRDefault="00864C59" w:rsidP="007429BC">
      <w:pPr>
        <w:jc w:val="both"/>
        <w:rPr>
          <w:rFonts w:asciiTheme="minorHAnsi" w:hAnsiTheme="minorHAnsi" w:cstheme="minorHAnsi"/>
          <w:b/>
          <w:sz w:val="16"/>
          <w:szCs w:val="16"/>
          <w:lang w:eastAsia="en-US"/>
        </w:rPr>
      </w:pPr>
      <w:r w:rsidRPr="00350378">
        <w:rPr>
          <w:rFonts w:asciiTheme="minorHAnsi" w:hAnsiTheme="minorHAnsi" w:cstheme="minorHAnsi"/>
          <w:b/>
          <w:sz w:val="16"/>
          <w:szCs w:val="16"/>
          <w:lang w:eastAsia="en-US"/>
        </w:rPr>
        <w:t>Méthodologie</w:t>
      </w:r>
    </w:p>
    <w:p w14:paraId="3F926BD8" w14:textId="77777777" w:rsidR="00AC1BDC" w:rsidRPr="00350378" w:rsidRDefault="00625471" w:rsidP="00AC1BDC">
      <w:pPr>
        <w:pStyle w:val="NormalWeb"/>
        <w:jc w:val="both"/>
        <w:rPr>
          <w:rFonts w:asciiTheme="minorHAnsi" w:hAnsiTheme="minorHAnsi" w:cstheme="minorHAnsi"/>
          <w:sz w:val="20"/>
          <w:szCs w:val="20"/>
        </w:rPr>
      </w:pPr>
      <w:r w:rsidRPr="00350378">
        <w:rPr>
          <w:rFonts w:asciiTheme="minorHAnsi" w:hAnsiTheme="minorHAnsi" w:cstheme="minorHAnsi"/>
          <w:b/>
          <w:sz w:val="16"/>
          <w:szCs w:val="16"/>
          <w:lang w:eastAsia="en-US"/>
        </w:rPr>
        <w:t xml:space="preserve">L’étude est fondée sur les documents de référence et les autres communications des groupes du </w:t>
      </w:r>
      <w:r w:rsidR="00A53977">
        <w:rPr>
          <w:rFonts w:asciiTheme="minorHAnsi" w:hAnsiTheme="minorHAnsi" w:cstheme="minorHAnsi"/>
          <w:b/>
          <w:sz w:val="16"/>
          <w:szCs w:val="16"/>
          <w:lang w:eastAsia="en-US"/>
        </w:rPr>
        <w:t>p</w:t>
      </w:r>
      <w:r w:rsidRPr="00350378">
        <w:rPr>
          <w:rFonts w:asciiTheme="minorHAnsi" w:hAnsiTheme="minorHAnsi" w:cstheme="minorHAnsi"/>
          <w:b/>
          <w:sz w:val="16"/>
          <w:szCs w:val="16"/>
          <w:lang w:eastAsia="en-US"/>
        </w:rPr>
        <w:t>anel. Certaines informations sectorielles reposent sur les données publiées par la FIEC (Fédération de l’Industrie Européenne de la Construction), Xerfi et Bloomberg.</w:t>
      </w:r>
      <w:r w:rsidR="00AC1BDC" w:rsidRPr="00350378">
        <w:rPr>
          <w:rFonts w:asciiTheme="minorHAnsi" w:hAnsiTheme="minorHAnsi" w:cstheme="minorHAnsi"/>
          <w:b/>
          <w:sz w:val="16"/>
          <w:szCs w:val="16"/>
          <w:lang w:eastAsia="en-US"/>
        </w:rPr>
        <w:t xml:space="preserve"> Le Panel 201</w:t>
      </w:r>
      <w:r w:rsidR="00D500AC" w:rsidRPr="00350378">
        <w:rPr>
          <w:rFonts w:asciiTheme="minorHAnsi" w:hAnsiTheme="minorHAnsi" w:cstheme="minorHAnsi"/>
          <w:b/>
          <w:sz w:val="16"/>
          <w:szCs w:val="16"/>
          <w:lang w:eastAsia="en-US"/>
        </w:rPr>
        <w:t>9</w:t>
      </w:r>
      <w:r w:rsidR="00AC1BDC" w:rsidRPr="00350378">
        <w:rPr>
          <w:rFonts w:asciiTheme="minorHAnsi" w:hAnsiTheme="minorHAnsi" w:cstheme="minorHAnsi"/>
          <w:b/>
          <w:sz w:val="16"/>
          <w:szCs w:val="16"/>
          <w:lang w:eastAsia="en-US"/>
        </w:rPr>
        <w:t xml:space="preserve"> </w:t>
      </w:r>
      <w:proofErr w:type="spellStart"/>
      <w:r w:rsidR="00AC1BDC" w:rsidRPr="00350378">
        <w:rPr>
          <w:rFonts w:asciiTheme="minorHAnsi" w:hAnsiTheme="minorHAnsi" w:cstheme="minorHAnsi"/>
          <w:b/>
          <w:sz w:val="16"/>
          <w:szCs w:val="16"/>
          <w:lang w:eastAsia="en-US"/>
        </w:rPr>
        <w:t>intègre</w:t>
      </w:r>
      <w:proofErr w:type="spellEnd"/>
      <w:r w:rsidR="00AC1BDC" w:rsidRPr="00350378">
        <w:rPr>
          <w:rFonts w:asciiTheme="minorHAnsi" w:hAnsiTheme="minorHAnsi" w:cstheme="minorHAnsi"/>
          <w:b/>
          <w:sz w:val="16"/>
          <w:szCs w:val="16"/>
          <w:lang w:eastAsia="en-US"/>
        </w:rPr>
        <w:t xml:space="preserve"> </w:t>
      </w:r>
      <w:r w:rsidR="00A53977">
        <w:rPr>
          <w:rFonts w:asciiTheme="minorHAnsi" w:hAnsiTheme="minorHAnsi" w:cstheme="minorHAnsi"/>
          <w:b/>
          <w:sz w:val="16"/>
          <w:szCs w:val="16"/>
          <w:lang w:eastAsia="en-US"/>
        </w:rPr>
        <w:t xml:space="preserve">les </w:t>
      </w:r>
      <w:r w:rsidR="00AC1BDC" w:rsidRPr="00350378">
        <w:rPr>
          <w:rFonts w:asciiTheme="minorHAnsi" w:hAnsiTheme="minorHAnsi" w:cstheme="minorHAnsi"/>
          <w:b/>
          <w:sz w:val="16"/>
          <w:szCs w:val="16"/>
          <w:lang w:eastAsia="en-US"/>
        </w:rPr>
        <w:t xml:space="preserve">groupes </w:t>
      </w:r>
      <w:proofErr w:type="spellStart"/>
      <w:r w:rsidR="00AC1BDC" w:rsidRPr="00350378">
        <w:rPr>
          <w:rFonts w:asciiTheme="minorHAnsi" w:hAnsiTheme="minorHAnsi" w:cstheme="minorHAnsi"/>
          <w:b/>
          <w:sz w:val="16"/>
          <w:szCs w:val="16"/>
          <w:lang w:eastAsia="en-US"/>
        </w:rPr>
        <w:t>européens</w:t>
      </w:r>
      <w:proofErr w:type="spellEnd"/>
      <w:r w:rsidR="00A53977">
        <w:rPr>
          <w:rFonts w:asciiTheme="minorHAnsi" w:hAnsiTheme="minorHAnsi" w:cstheme="minorHAnsi"/>
          <w:b/>
          <w:sz w:val="16"/>
          <w:szCs w:val="16"/>
          <w:lang w:eastAsia="en-US"/>
        </w:rPr>
        <w:t xml:space="preserve"> </w:t>
      </w:r>
      <w:proofErr w:type="spellStart"/>
      <w:r w:rsidR="00A53977">
        <w:rPr>
          <w:rFonts w:asciiTheme="minorHAnsi" w:hAnsiTheme="minorHAnsi" w:cstheme="minorHAnsi"/>
          <w:b/>
          <w:sz w:val="16"/>
          <w:szCs w:val="16"/>
          <w:lang w:eastAsia="en-US"/>
        </w:rPr>
        <w:t>cotés</w:t>
      </w:r>
      <w:proofErr w:type="spellEnd"/>
      <w:r w:rsidR="00AC1BDC" w:rsidRPr="00350378">
        <w:rPr>
          <w:rFonts w:asciiTheme="minorHAnsi" w:hAnsiTheme="minorHAnsi" w:cstheme="minorHAnsi"/>
          <w:b/>
          <w:sz w:val="16"/>
          <w:szCs w:val="16"/>
          <w:lang w:eastAsia="en-US"/>
        </w:rPr>
        <w:t xml:space="preserve">, pure </w:t>
      </w:r>
      <w:proofErr w:type="spellStart"/>
      <w:r w:rsidR="00AC1BDC" w:rsidRPr="00350378">
        <w:rPr>
          <w:rFonts w:asciiTheme="minorHAnsi" w:hAnsiTheme="minorHAnsi" w:cstheme="minorHAnsi"/>
          <w:b/>
          <w:sz w:val="16"/>
          <w:szCs w:val="16"/>
          <w:lang w:eastAsia="en-US"/>
        </w:rPr>
        <w:t>players</w:t>
      </w:r>
      <w:proofErr w:type="spellEnd"/>
      <w:r w:rsidR="00AC1BDC" w:rsidRPr="00350378">
        <w:rPr>
          <w:rFonts w:asciiTheme="minorHAnsi" w:hAnsiTheme="minorHAnsi" w:cstheme="minorHAnsi"/>
          <w:b/>
          <w:sz w:val="16"/>
          <w:szCs w:val="16"/>
          <w:lang w:eastAsia="en-US"/>
        </w:rPr>
        <w:t xml:space="preserve"> ou acteurs </w:t>
      </w:r>
      <w:proofErr w:type="spellStart"/>
      <w:r w:rsidR="00AC1BDC" w:rsidRPr="00350378">
        <w:rPr>
          <w:rFonts w:asciiTheme="minorHAnsi" w:hAnsiTheme="minorHAnsi" w:cstheme="minorHAnsi"/>
          <w:b/>
          <w:sz w:val="16"/>
          <w:szCs w:val="16"/>
          <w:lang w:eastAsia="en-US"/>
        </w:rPr>
        <w:t>diversifiés</w:t>
      </w:r>
      <w:proofErr w:type="spellEnd"/>
      <w:r w:rsidR="00AC1BDC" w:rsidRPr="00350378">
        <w:rPr>
          <w:rFonts w:asciiTheme="minorHAnsi" w:hAnsiTheme="minorHAnsi" w:cstheme="minorHAnsi"/>
          <w:b/>
          <w:sz w:val="16"/>
          <w:szCs w:val="16"/>
          <w:lang w:eastAsia="en-US"/>
        </w:rPr>
        <w:t xml:space="preserve"> autour des </w:t>
      </w:r>
      <w:proofErr w:type="spellStart"/>
      <w:r w:rsidR="00AC1BDC" w:rsidRPr="00350378">
        <w:rPr>
          <w:rFonts w:asciiTheme="minorHAnsi" w:hAnsiTheme="minorHAnsi" w:cstheme="minorHAnsi"/>
          <w:b/>
          <w:sz w:val="16"/>
          <w:szCs w:val="16"/>
          <w:lang w:eastAsia="en-US"/>
        </w:rPr>
        <w:t>métiers</w:t>
      </w:r>
      <w:proofErr w:type="spellEnd"/>
      <w:r w:rsidR="00AC1BDC" w:rsidRPr="00350378">
        <w:rPr>
          <w:rFonts w:asciiTheme="minorHAnsi" w:hAnsiTheme="minorHAnsi" w:cstheme="minorHAnsi"/>
          <w:b/>
          <w:sz w:val="16"/>
          <w:szCs w:val="16"/>
          <w:lang w:eastAsia="en-US"/>
        </w:rPr>
        <w:t xml:space="preserve"> de la construction, dont le chiffre d’affaires consolidé est </w:t>
      </w:r>
      <w:proofErr w:type="spellStart"/>
      <w:r w:rsidR="00AC1BDC" w:rsidRPr="00350378">
        <w:rPr>
          <w:rFonts w:asciiTheme="minorHAnsi" w:hAnsiTheme="minorHAnsi" w:cstheme="minorHAnsi"/>
          <w:b/>
          <w:sz w:val="16"/>
          <w:szCs w:val="16"/>
          <w:lang w:eastAsia="en-US"/>
        </w:rPr>
        <w:t>supérieur</w:t>
      </w:r>
      <w:proofErr w:type="spellEnd"/>
      <w:r w:rsidR="00AC1BDC" w:rsidRPr="00350378">
        <w:rPr>
          <w:rFonts w:asciiTheme="minorHAnsi" w:hAnsiTheme="minorHAnsi" w:cstheme="minorHAnsi"/>
          <w:b/>
          <w:sz w:val="16"/>
          <w:szCs w:val="16"/>
          <w:lang w:eastAsia="en-US"/>
        </w:rPr>
        <w:t xml:space="preserve"> à 5 Md€, soit 17 groupes.</w:t>
      </w:r>
      <w:r w:rsidR="00AC1BDC" w:rsidRPr="00350378">
        <w:rPr>
          <w:rFonts w:asciiTheme="minorHAnsi" w:hAnsiTheme="minorHAnsi" w:cstheme="minorHAnsi"/>
          <w:sz w:val="20"/>
          <w:szCs w:val="20"/>
        </w:rPr>
        <w:t xml:space="preserve"> </w:t>
      </w:r>
    </w:p>
    <w:p w14:paraId="6F402385" w14:textId="77777777" w:rsidR="00864C59" w:rsidRDefault="00864C59" w:rsidP="007429BC">
      <w:pPr>
        <w:jc w:val="both"/>
        <w:rPr>
          <w:rFonts w:ascii="Arial" w:hAnsi="Arial" w:cs="Arial"/>
          <w:b/>
          <w:i/>
          <w:color w:val="000000"/>
          <w:sz w:val="22"/>
          <w:szCs w:val="22"/>
        </w:rPr>
      </w:pPr>
    </w:p>
    <w:p w14:paraId="0A9F8E4B" w14:textId="77777777" w:rsidR="00B365BB" w:rsidRPr="00350378" w:rsidRDefault="00B365BB" w:rsidP="00B365BB">
      <w:pPr>
        <w:rPr>
          <w:rFonts w:asciiTheme="minorHAnsi" w:hAnsiTheme="minorHAnsi" w:cstheme="minorHAnsi"/>
          <w:b/>
          <w:sz w:val="20"/>
          <w:szCs w:val="20"/>
        </w:rPr>
      </w:pPr>
      <w:r w:rsidRPr="00350378">
        <w:rPr>
          <w:rFonts w:asciiTheme="minorHAnsi" w:hAnsiTheme="minorHAnsi" w:cstheme="minorHAnsi"/>
          <w:b/>
          <w:sz w:val="20"/>
          <w:szCs w:val="20"/>
        </w:rPr>
        <w:t>CONTACTS PRESSE</w:t>
      </w:r>
    </w:p>
    <w:p w14:paraId="26229928" w14:textId="77777777" w:rsidR="00B365BB" w:rsidRPr="00350378" w:rsidRDefault="00B365BB" w:rsidP="00B365BB">
      <w:pPr>
        <w:rPr>
          <w:rFonts w:asciiTheme="minorHAnsi" w:hAnsiTheme="minorHAnsi" w:cstheme="minorHAnsi"/>
          <w:b/>
          <w:sz w:val="20"/>
          <w:szCs w:val="20"/>
        </w:rPr>
      </w:pPr>
    </w:p>
    <w:p w14:paraId="185A5911" w14:textId="77777777" w:rsidR="00B365BB" w:rsidRPr="00350378" w:rsidRDefault="00B365BB" w:rsidP="00B365BB">
      <w:pPr>
        <w:rPr>
          <w:rFonts w:asciiTheme="minorHAnsi" w:hAnsiTheme="minorHAnsi" w:cstheme="minorHAnsi"/>
          <w:b/>
          <w:sz w:val="20"/>
          <w:szCs w:val="20"/>
        </w:rPr>
      </w:pPr>
      <w:r w:rsidRPr="00350378">
        <w:rPr>
          <w:rFonts w:asciiTheme="minorHAnsi" w:hAnsiTheme="minorHAnsi" w:cstheme="minorHAnsi"/>
          <w:b/>
          <w:sz w:val="20"/>
          <w:szCs w:val="20"/>
        </w:rPr>
        <w:t>Rumeur Publique</w:t>
      </w:r>
    </w:p>
    <w:p w14:paraId="5D17AA3B" w14:textId="77777777" w:rsidR="00B365BB" w:rsidRPr="00350378" w:rsidRDefault="00B365BB" w:rsidP="00B365BB">
      <w:pPr>
        <w:jc w:val="both"/>
        <w:rPr>
          <w:rFonts w:asciiTheme="minorHAnsi" w:hAnsiTheme="minorHAnsi" w:cstheme="minorHAnsi"/>
          <w:sz w:val="20"/>
          <w:szCs w:val="20"/>
        </w:rPr>
      </w:pPr>
      <w:r w:rsidRPr="00350378">
        <w:rPr>
          <w:rFonts w:asciiTheme="minorHAnsi" w:hAnsiTheme="minorHAnsi" w:cstheme="minorHAnsi"/>
          <w:sz w:val="20"/>
          <w:szCs w:val="20"/>
        </w:rPr>
        <w:t xml:space="preserve">Marie Goislard – 01 55 74 52 33 –  </w:t>
      </w:r>
      <w:hyperlink r:id="rId11" w:history="1">
        <w:r w:rsidRPr="00350378">
          <w:rPr>
            <w:rStyle w:val="Lienhypertexte"/>
            <w:rFonts w:asciiTheme="minorHAnsi" w:hAnsiTheme="minorHAnsi" w:cstheme="minorHAnsi"/>
            <w:sz w:val="20"/>
            <w:szCs w:val="20"/>
          </w:rPr>
          <w:t>marie@rumeurpublique.fr</w:t>
        </w:r>
      </w:hyperlink>
    </w:p>
    <w:p w14:paraId="6FEA7717" w14:textId="77777777" w:rsidR="00B365BB" w:rsidRPr="00350378" w:rsidRDefault="00B365BB" w:rsidP="00B365BB">
      <w:pPr>
        <w:rPr>
          <w:rFonts w:asciiTheme="minorHAnsi" w:hAnsiTheme="minorHAnsi" w:cstheme="minorHAnsi"/>
          <w:b/>
          <w:sz w:val="20"/>
          <w:szCs w:val="20"/>
        </w:rPr>
      </w:pPr>
    </w:p>
    <w:p w14:paraId="10E7AF82" w14:textId="77777777" w:rsidR="00B365BB" w:rsidRPr="00350378" w:rsidRDefault="00B365BB" w:rsidP="00B365BB">
      <w:pPr>
        <w:rPr>
          <w:rFonts w:asciiTheme="minorHAnsi" w:hAnsiTheme="minorHAnsi" w:cstheme="minorHAnsi"/>
          <w:b/>
          <w:sz w:val="20"/>
          <w:szCs w:val="20"/>
        </w:rPr>
      </w:pPr>
      <w:r w:rsidRPr="00350378">
        <w:rPr>
          <w:rFonts w:asciiTheme="minorHAnsi" w:hAnsiTheme="minorHAnsi" w:cstheme="minorHAnsi"/>
          <w:b/>
          <w:sz w:val="20"/>
          <w:szCs w:val="20"/>
        </w:rPr>
        <w:t>Mazars</w:t>
      </w:r>
    </w:p>
    <w:p w14:paraId="2344D556" w14:textId="77777777" w:rsidR="00B365BB" w:rsidRPr="00350378" w:rsidRDefault="00B365BB" w:rsidP="00B365BB">
      <w:pPr>
        <w:rPr>
          <w:rFonts w:asciiTheme="minorHAnsi" w:hAnsiTheme="minorHAnsi" w:cstheme="minorHAnsi"/>
          <w:sz w:val="20"/>
          <w:szCs w:val="20"/>
        </w:rPr>
      </w:pPr>
      <w:r w:rsidRPr="00350378">
        <w:rPr>
          <w:rFonts w:asciiTheme="minorHAnsi" w:hAnsiTheme="minorHAnsi" w:cstheme="minorHAnsi"/>
          <w:sz w:val="20"/>
          <w:szCs w:val="20"/>
        </w:rPr>
        <w:t xml:space="preserve">Aurore </w:t>
      </w:r>
      <w:proofErr w:type="spellStart"/>
      <w:r w:rsidRPr="00350378">
        <w:rPr>
          <w:rFonts w:asciiTheme="minorHAnsi" w:hAnsiTheme="minorHAnsi" w:cstheme="minorHAnsi"/>
          <w:sz w:val="20"/>
          <w:szCs w:val="20"/>
        </w:rPr>
        <w:t>Angeli</w:t>
      </w:r>
      <w:proofErr w:type="spellEnd"/>
      <w:r w:rsidRPr="00350378">
        <w:rPr>
          <w:rFonts w:asciiTheme="minorHAnsi" w:hAnsiTheme="minorHAnsi" w:cstheme="minorHAnsi"/>
          <w:sz w:val="20"/>
          <w:szCs w:val="20"/>
        </w:rPr>
        <w:t xml:space="preserve"> –  Communication France – 06 03 78 89 84 – </w:t>
      </w:r>
      <w:hyperlink r:id="rId12" w:history="1">
        <w:r w:rsidRPr="00350378">
          <w:rPr>
            <w:rStyle w:val="Lienhypertexte"/>
            <w:rFonts w:asciiTheme="minorHAnsi" w:hAnsiTheme="minorHAnsi" w:cstheme="minorHAnsi"/>
            <w:sz w:val="20"/>
            <w:szCs w:val="20"/>
          </w:rPr>
          <w:t>aurore.angeli@mazars.fr</w:t>
        </w:r>
      </w:hyperlink>
      <w:r w:rsidRPr="00350378">
        <w:rPr>
          <w:rFonts w:asciiTheme="minorHAnsi" w:hAnsiTheme="minorHAnsi" w:cstheme="minorHAnsi"/>
          <w:sz w:val="20"/>
          <w:szCs w:val="20"/>
        </w:rPr>
        <w:t xml:space="preserve"> </w:t>
      </w:r>
    </w:p>
    <w:p w14:paraId="22B9062E" w14:textId="77777777" w:rsidR="00B365BB" w:rsidRPr="00350378" w:rsidRDefault="00B365BB" w:rsidP="00B365BB">
      <w:pPr>
        <w:pStyle w:val="Default"/>
        <w:jc w:val="both"/>
        <w:rPr>
          <w:rFonts w:asciiTheme="minorHAnsi" w:hAnsiTheme="minorHAnsi" w:cstheme="minorHAnsi"/>
          <w:b/>
          <w:bCs/>
          <w:i/>
          <w:iCs/>
          <w:color w:val="auto"/>
          <w:sz w:val="20"/>
          <w:szCs w:val="20"/>
        </w:rPr>
      </w:pPr>
    </w:p>
    <w:p w14:paraId="2F2EE68F" w14:textId="77777777" w:rsidR="00B365BB" w:rsidRPr="00350378" w:rsidRDefault="00B365BB" w:rsidP="00B365BB">
      <w:pPr>
        <w:pStyle w:val="Default"/>
        <w:rPr>
          <w:rFonts w:asciiTheme="minorHAnsi" w:hAnsiTheme="minorHAnsi" w:cstheme="minorHAnsi"/>
          <w:b/>
          <w:bCs/>
          <w:i/>
          <w:iCs/>
          <w:color w:val="auto"/>
          <w:sz w:val="20"/>
          <w:szCs w:val="20"/>
        </w:rPr>
      </w:pPr>
      <w:r w:rsidRPr="00350378">
        <w:rPr>
          <w:rFonts w:asciiTheme="minorHAnsi" w:hAnsiTheme="minorHAnsi" w:cstheme="minorHAnsi"/>
          <w:b/>
          <w:bCs/>
          <w:i/>
          <w:iCs/>
          <w:color w:val="auto"/>
          <w:sz w:val="20"/>
          <w:szCs w:val="20"/>
        </w:rPr>
        <w:t xml:space="preserve">A propos de Mazars </w:t>
      </w:r>
    </w:p>
    <w:p w14:paraId="354FB93E" w14:textId="77777777" w:rsidR="00B365BB" w:rsidRPr="00350378" w:rsidRDefault="00B365BB" w:rsidP="00B365BB">
      <w:pPr>
        <w:jc w:val="both"/>
        <w:rPr>
          <w:rFonts w:asciiTheme="minorHAnsi" w:hAnsiTheme="minorHAnsi" w:cstheme="minorHAnsi"/>
          <w:i/>
          <w:iCs/>
          <w:sz w:val="20"/>
          <w:szCs w:val="20"/>
          <w:bdr w:val="none" w:sz="0" w:space="0" w:color="auto" w:frame="1"/>
          <w:shd w:val="clear" w:color="auto" w:fill="FFFFFF"/>
        </w:rPr>
      </w:pPr>
      <w:r w:rsidRPr="00350378">
        <w:rPr>
          <w:rFonts w:asciiTheme="minorHAnsi" w:hAnsiTheme="minorHAnsi" w:cstheme="minorHAnsi"/>
          <w:i/>
          <w:iCs/>
          <w:sz w:val="20"/>
          <w:szCs w:val="20"/>
          <w:bdr w:val="none" w:sz="0" w:space="0" w:color="auto" w:frame="1"/>
          <w:shd w:val="clear" w:color="auto" w:fill="FFFFFF"/>
        </w:rPr>
        <w:t xml:space="preserve">Mazars est une organisation internationale, intégrée et indépendante spécialisée dans l'audit, le conseil, ainsi que les services comptables, fiscaux et juridiques </w:t>
      </w:r>
      <w:r w:rsidRPr="00350378">
        <w:rPr>
          <w:rFonts w:asciiTheme="minorHAnsi" w:hAnsiTheme="minorHAnsi" w:cstheme="minorHAnsi"/>
          <w:i/>
          <w:iCs/>
          <w:sz w:val="20"/>
          <w:szCs w:val="20"/>
          <w:bdr w:val="none" w:sz="0" w:space="0" w:color="auto" w:frame="1"/>
          <w:shd w:val="clear" w:color="auto" w:fill="FFFFFF"/>
        </w:rPr>
        <w:footnoteReference w:customMarkFollows="1" w:id="1"/>
        <w:t xml:space="preserve">[1]. Présent dans 89 pays et territoires à travers le monde, Mazars fédère les expertises de 40 000 professionnels – 24 000 au sein du partenariat intégré Mazars et 16 000 via Mazars North America Alliance – qui accompagnent les grands groupes internationaux, ETI, PME, startups et organismes publics à chaque étape de leur développement. </w:t>
      </w:r>
    </w:p>
    <w:p w14:paraId="4E824954" w14:textId="77777777" w:rsidR="00B365BB" w:rsidRPr="00350378" w:rsidRDefault="00B365BB" w:rsidP="00B365BB">
      <w:pPr>
        <w:rPr>
          <w:rStyle w:val="Lienhypertexte"/>
          <w:rFonts w:asciiTheme="minorHAnsi" w:hAnsiTheme="minorHAnsi" w:cstheme="minorHAnsi"/>
          <w:i/>
          <w:iCs/>
          <w:sz w:val="20"/>
          <w:szCs w:val="20"/>
        </w:rPr>
      </w:pPr>
    </w:p>
    <w:p w14:paraId="7743F221" w14:textId="77777777" w:rsidR="00635B97" w:rsidRPr="00AB2470" w:rsidRDefault="00136443" w:rsidP="00B23440">
      <w:pPr>
        <w:jc w:val="both"/>
        <w:rPr>
          <w:rFonts w:ascii="Arial" w:hAnsi="Arial" w:cs="Arial"/>
          <w:sz w:val="20"/>
          <w:szCs w:val="20"/>
        </w:rPr>
      </w:pPr>
      <w:hyperlink r:id="rId13" w:history="1">
        <w:r w:rsidR="00B365BB" w:rsidRPr="00350378">
          <w:rPr>
            <w:rStyle w:val="Lienhypertexte"/>
            <w:rFonts w:asciiTheme="minorHAnsi" w:hAnsiTheme="minorHAnsi" w:cstheme="minorHAnsi"/>
            <w:i/>
            <w:sz w:val="20"/>
            <w:szCs w:val="20"/>
          </w:rPr>
          <w:t>https://www.mazars.fr</w:t>
        </w:r>
      </w:hyperlink>
      <w:r w:rsidR="00B365BB" w:rsidRPr="00350378">
        <w:rPr>
          <w:rFonts w:asciiTheme="minorHAnsi" w:hAnsiTheme="minorHAnsi" w:cstheme="minorHAnsi"/>
          <w:i/>
          <w:iCs/>
          <w:color w:val="000000"/>
          <w:sz w:val="20"/>
          <w:szCs w:val="20"/>
        </w:rPr>
        <w:t xml:space="preserve">- </w:t>
      </w:r>
      <w:hyperlink r:id="rId14" w:history="1">
        <w:r w:rsidR="00B365BB" w:rsidRPr="00350378">
          <w:rPr>
            <w:rStyle w:val="Lienhypertexte"/>
            <w:rFonts w:asciiTheme="minorHAnsi" w:hAnsiTheme="minorHAnsi" w:cstheme="minorHAnsi"/>
            <w:i/>
            <w:iCs/>
            <w:sz w:val="20"/>
            <w:szCs w:val="20"/>
          </w:rPr>
          <w:t>www.linkedin.com/company/mazars</w:t>
        </w:r>
      </w:hyperlink>
      <w:r w:rsidR="00B365BB" w:rsidRPr="00350378">
        <w:rPr>
          <w:rFonts w:asciiTheme="minorHAnsi" w:hAnsiTheme="minorHAnsi" w:cstheme="minorHAnsi"/>
          <w:i/>
          <w:iCs/>
          <w:color w:val="000000"/>
          <w:sz w:val="20"/>
          <w:szCs w:val="20"/>
        </w:rPr>
        <w:t xml:space="preserve"> - </w:t>
      </w:r>
      <w:hyperlink r:id="rId15" w:history="1">
        <w:r w:rsidR="00B365BB" w:rsidRPr="00350378">
          <w:rPr>
            <w:rStyle w:val="Lienhypertexte"/>
            <w:rFonts w:asciiTheme="minorHAnsi" w:hAnsiTheme="minorHAnsi" w:cstheme="minorHAnsi"/>
            <w:i/>
            <w:sz w:val="20"/>
            <w:szCs w:val="20"/>
          </w:rPr>
          <w:t>https://twitter.com/mazarsfrance</w:t>
        </w:r>
      </w:hyperlink>
    </w:p>
    <w:sectPr w:rsidR="00635B97" w:rsidRPr="00AB2470" w:rsidSect="0029595E">
      <w:headerReference w:type="default" r:id="rId16"/>
      <w:footerReference w:type="default" r:id="rId17"/>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660BB" w14:textId="77777777" w:rsidR="00136443" w:rsidRDefault="00136443" w:rsidP="00BE7743">
      <w:r>
        <w:separator/>
      </w:r>
    </w:p>
  </w:endnote>
  <w:endnote w:type="continuationSeparator" w:id="0">
    <w:p w14:paraId="263C51AD" w14:textId="77777777" w:rsidR="00136443" w:rsidRDefault="00136443" w:rsidP="00BE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INNextLTPro-Regular">
    <w:altName w:val="Calibri"/>
    <w:panose1 w:val="00000000000000000000"/>
    <w:charset w:val="00"/>
    <w:family w:val="swiss"/>
    <w:notTrueType/>
    <w:pitch w:val="default"/>
    <w:sig w:usb0="00000003" w:usb1="00000000" w:usb2="00000000" w:usb3="00000000" w:csb0="00000001" w:csb1="00000000"/>
  </w:font>
  <w:font w:name="DINNextLTPro-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DC00" w14:textId="77777777" w:rsidR="00011AA6" w:rsidRDefault="00011A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A6EC4" w14:textId="77777777" w:rsidR="00136443" w:rsidRDefault="00136443" w:rsidP="00BE7743">
      <w:r>
        <w:separator/>
      </w:r>
    </w:p>
  </w:footnote>
  <w:footnote w:type="continuationSeparator" w:id="0">
    <w:p w14:paraId="516BC6AD" w14:textId="77777777" w:rsidR="00136443" w:rsidRDefault="00136443" w:rsidP="00BE7743">
      <w:r>
        <w:continuationSeparator/>
      </w:r>
    </w:p>
  </w:footnote>
  <w:footnote w:id="1">
    <w:p w14:paraId="0C4CA57E" w14:textId="77777777" w:rsidR="00011AA6" w:rsidRDefault="00011AA6" w:rsidP="00B365BB">
      <w:pPr>
        <w:pStyle w:val="Notedebasdepage"/>
        <w:rPr>
          <w:color w:val="000000"/>
          <w:sz w:val="16"/>
          <w:szCs w:val="16"/>
        </w:rPr>
      </w:pPr>
      <w:r>
        <w:rPr>
          <w:color w:val="000000"/>
          <w:sz w:val="16"/>
          <w:szCs w:val="16"/>
        </w:rPr>
        <w:t>[1] Seulement dans les pays dans lesquels les lois en vigueur l’autorisent.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171CA" w14:textId="77777777" w:rsidR="00011AA6" w:rsidRDefault="00011AA6">
    <w:pPr>
      <w:pStyle w:val="En-tte"/>
    </w:pPr>
    <w:r>
      <w:rPr>
        <w:noProof/>
      </w:rPr>
      <w:drawing>
        <wp:anchor distT="0" distB="0" distL="114300" distR="114300" simplePos="0" relativeHeight="251659264" behindDoc="0" locked="0" layoutInCell="1" allowOverlap="1" wp14:anchorId="4382C9E7" wp14:editId="0B887066">
          <wp:simplePos x="0" y="0"/>
          <wp:positionH relativeFrom="margin">
            <wp:posOffset>-710618</wp:posOffset>
          </wp:positionH>
          <wp:positionV relativeFrom="margin">
            <wp:posOffset>-838835</wp:posOffset>
          </wp:positionV>
          <wp:extent cx="2226945" cy="775970"/>
          <wp:effectExtent l="0" t="0" r="1905" b="5080"/>
          <wp:wrapSquare wrapText="bothSides"/>
          <wp:docPr id="4" name="Image 4" descr="http://www.france-biotech.org/wp-content/uploads/2014/09/mas-mazars-logo_mazars_quadri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ance-biotech.org/wp-content/uploads/2014/09/mas-mazars-logo_mazars_quadri_H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6945" cy="775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966"/>
    <w:multiLevelType w:val="multilevel"/>
    <w:tmpl w:val="48B0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11AD8"/>
    <w:multiLevelType w:val="hybridMultilevel"/>
    <w:tmpl w:val="FD124A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9B0899"/>
    <w:multiLevelType w:val="hybridMultilevel"/>
    <w:tmpl w:val="9F8AE8E2"/>
    <w:lvl w:ilvl="0" w:tplc="DDE06D5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7CF44ED"/>
    <w:multiLevelType w:val="multilevel"/>
    <w:tmpl w:val="E146C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E6552"/>
    <w:multiLevelType w:val="hybridMultilevel"/>
    <w:tmpl w:val="7F102582"/>
    <w:lvl w:ilvl="0" w:tplc="852433C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CF53B56"/>
    <w:multiLevelType w:val="hybridMultilevel"/>
    <w:tmpl w:val="E048BD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6211CE"/>
    <w:multiLevelType w:val="hybridMultilevel"/>
    <w:tmpl w:val="07C46778"/>
    <w:lvl w:ilvl="0" w:tplc="EF948A8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646015"/>
    <w:multiLevelType w:val="hybridMultilevel"/>
    <w:tmpl w:val="E92AB122"/>
    <w:lvl w:ilvl="0" w:tplc="55CA9E5E">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85953E6"/>
    <w:multiLevelType w:val="hybridMultilevel"/>
    <w:tmpl w:val="E9226490"/>
    <w:lvl w:ilvl="0" w:tplc="417A5C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8B78E8"/>
    <w:multiLevelType w:val="hybridMultilevel"/>
    <w:tmpl w:val="66AC57EE"/>
    <w:lvl w:ilvl="0" w:tplc="76F637DC">
      <w:start w:val="20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4231FE"/>
    <w:multiLevelType w:val="hybridMultilevel"/>
    <w:tmpl w:val="407E88F4"/>
    <w:lvl w:ilvl="0" w:tplc="3206919A">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2DE9746B"/>
    <w:multiLevelType w:val="hybridMultilevel"/>
    <w:tmpl w:val="4D38D38C"/>
    <w:lvl w:ilvl="0" w:tplc="85AA37B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7C7C7A"/>
    <w:multiLevelType w:val="hybridMultilevel"/>
    <w:tmpl w:val="30FEF324"/>
    <w:lvl w:ilvl="0" w:tplc="27789DA4">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F8118F3"/>
    <w:multiLevelType w:val="hybridMultilevel"/>
    <w:tmpl w:val="C3D0A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CC629F"/>
    <w:multiLevelType w:val="hybridMultilevel"/>
    <w:tmpl w:val="945CFAD4"/>
    <w:lvl w:ilvl="0" w:tplc="67582DF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152529"/>
    <w:multiLevelType w:val="hybridMultilevel"/>
    <w:tmpl w:val="AB2C25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172D06"/>
    <w:multiLevelType w:val="hybridMultilevel"/>
    <w:tmpl w:val="00925AA8"/>
    <w:lvl w:ilvl="0" w:tplc="1D08FB58">
      <w:start w:val="4"/>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E0C0E91"/>
    <w:multiLevelType w:val="hybridMultilevel"/>
    <w:tmpl w:val="48FEC7B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1DA0CCD"/>
    <w:multiLevelType w:val="multilevel"/>
    <w:tmpl w:val="92C2C0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9E3BF6"/>
    <w:multiLevelType w:val="hybridMultilevel"/>
    <w:tmpl w:val="0CAC8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CC4FDA"/>
    <w:multiLevelType w:val="multilevel"/>
    <w:tmpl w:val="5B70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DE5484"/>
    <w:multiLevelType w:val="hybridMultilevel"/>
    <w:tmpl w:val="4CCA77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6205AF"/>
    <w:multiLevelType w:val="hybridMultilevel"/>
    <w:tmpl w:val="9EB2C298"/>
    <w:lvl w:ilvl="0" w:tplc="F2123CB0">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211815"/>
    <w:multiLevelType w:val="hybridMultilevel"/>
    <w:tmpl w:val="278A25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F1735D"/>
    <w:multiLevelType w:val="hybridMultilevel"/>
    <w:tmpl w:val="5B20662C"/>
    <w:lvl w:ilvl="0" w:tplc="D9BEEC28">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C202859"/>
    <w:multiLevelType w:val="hybridMultilevel"/>
    <w:tmpl w:val="4EE05F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D2E221D"/>
    <w:multiLevelType w:val="multilevel"/>
    <w:tmpl w:val="F112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CC0586"/>
    <w:multiLevelType w:val="hybridMultilevel"/>
    <w:tmpl w:val="97A89654"/>
    <w:lvl w:ilvl="0" w:tplc="5746AE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
  </w:num>
  <w:num w:numId="4">
    <w:abstractNumId w:val="21"/>
  </w:num>
  <w:num w:numId="5">
    <w:abstractNumId w:val="25"/>
  </w:num>
  <w:num w:numId="6">
    <w:abstractNumId w:val="23"/>
  </w:num>
  <w:num w:numId="7">
    <w:abstractNumId w:val="27"/>
  </w:num>
  <w:num w:numId="8">
    <w:abstractNumId w:val="20"/>
  </w:num>
  <w:num w:numId="9">
    <w:abstractNumId w:val="26"/>
  </w:num>
  <w:num w:numId="10">
    <w:abstractNumId w:val="18"/>
  </w:num>
  <w:num w:numId="11">
    <w:abstractNumId w:val="3"/>
  </w:num>
  <w:num w:numId="12">
    <w:abstractNumId w:val="22"/>
  </w:num>
  <w:num w:numId="13">
    <w:abstractNumId w:val="4"/>
  </w:num>
  <w:num w:numId="14">
    <w:abstractNumId w:val="2"/>
  </w:num>
  <w:num w:numId="15">
    <w:abstractNumId w:val="12"/>
  </w:num>
  <w:num w:numId="16">
    <w:abstractNumId w:val="16"/>
  </w:num>
  <w:num w:numId="17">
    <w:abstractNumId w:val="0"/>
  </w:num>
  <w:num w:numId="18">
    <w:abstractNumId w:val="19"/>
  </w:num>
  <w:num w:numId="19">
    <w:abstractNumId w:val="7"/>
  </w:num>
  <w:num w:numId="20">
    <w:abstractNumId w:val="13"/>
  </w:num>
  <w:num w:numId="21">
    <w:abstractNumId w:val="14"/>
  </w:num>
  <w:num w:numId="22">
    <w:abstractNumId w:val="5"/>
  </w:num>
  <w:num w:numId="23">
    <w:abstractNumId w:val="8"/>
  </w:num>
  <w:num w:numId="24">
    <w:abstractNumId w:val="11"/>
  </w:num>
  <w:num w:numId="25">
    <w:abstractNumId w:val="9"/>
  </w:num>
  <w:num w:numId="26">
    <w:abstractNumId w:val="6"/>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355"/>
    <w:rsid w:val="00000894"/>
    <w:rsid w:val="00001C6D"/>
    <w:rsid w:val="00005281"/>
    <w:rsid w:val="0000710B"/>
    <w:rsid w:val="00010A80"/>
    <w:rsid w:val="00011AA6"/>
    <w:rsid w:val="000221ED"/>
    <w:rsid w:val="000226AB"/>
    <w:rsid w:val="000228F9"/>
    <w:rsid w:val="00022FCA"/>
    <w:rsid w:val="0002348E"/>
    <w:rsid w:val="0002606F"/>
    <w:rsid w:val="00032F3E"/>
    <w:rsid w:val="000330ED"/>
    <w:rsid w:val="000342A0"/>
    <w:rsid w:val="00034FF3"/>
    <w:rsid w:val="00035D76"/>
    <w:rsid w:val="00036250"/>
    <w:rsid w:val="00037AF9"/>
    <w:rsid w:val="000410FE"/>
    <w:rsid w:val="000432A4"/>
    <w:rsid w:val="000449C2"/>
    <w:rsid w:val="0004504D"/>
    <w:rsid w:val="000456ED"/>
    <w:rsid w:val="000464EF"/>
    <w:rsid w:val="000501E1"/>
    <w:rsid w:val="00050578"/>
    <w:rsid w:val="00050DAD"/>
    <w:rsid w:val="00050E9A"/>
    <w:rsid w:val="00051546"/>
    <w:rsid w:val="00056F0E"/>
    <w:rsid w:val="00060178"/>
    <w:rsid w:val="000628A5"/>
    <w:rsid w:val="00071EB3"/>
    <w:rsid w:val="00073B21"/>
    <w:rsid w:val="00075074"/>
    <w:rsid w:val="000769B2"/>
    <w:rsid w:val="00077BA8"/>
    <w:rsid w:val="00080A4E"/>
    <w:rsid w:val="000832C5"/>
    <w:rsid w:val="00083337"/>
    <w:rsid w:val="000904FB"/>
    <w:rsid w:val="00092A39"/>
    <w:rsid w:val="000942FB"/>
    <w:rsid w:val="0009474E"/>
    <w:rsid w:val="00096132"/>
    <w:rsid w:val="00097F80"/>
    <w:rsid w:val="000A0BA2"/>
    <w:rsid w:val="000A17DC"/>
    <w:rsid w:val="000A20EE"/>
    <w:rsid w:val="000A2432"/>
    <w:rsid w:val="000A65B0"/>
    <w:rsid w:val="000A728D"/>
    <w:rsid w:val="000A7413"/>
    <w:rsid w:val="000B1D0E"/>
    <w:rsid w:val="000B2308"/>
    <w:rsid w:val="000B5C87"/>
    <w:rsid w:val="000C6237"/>
    <w:rsid w:val="000C6A61"/>
    <w:rsid w:val="000D3809"/>
    <w:rsid w:val="000D3A19"/>
    <w:rsid w:val="000E0363"/>
    <w:rsid w:val="000E09B6"/>
    <w:rsid w:val="000E2F79"/>
    <w:rsid w:val="000E5588"/>
    <w:rsid w:val="000E738F"/>
    <w:rsid w:val="000F00E9"/>
    <w:rsid w:val="000F36C4"/>
    <w:rsid w:val="000F3952"/>
    <w:rsid w:val="0010256B"/>
    <w:rsid w:val="00104038"/>
    <w:rsid w:val="001102C4"/>
    <w:rsid w:val="00111B01"/>
    <w:rsid w:val="00111DDF"/>
    <w:rsid w:val="00113B45"/>
    <w:rsid w:val="001156A0"/>
    <w:rsid w:val="00122299"/>
    <w:rsid w:val="001238A2"/>
    <w:rsid w:val="0012589B"/>
    <w:rsid w:val="00125B43"/>
    <w:rsid w:val="00127E2E"/>
    <w:rsid w:val="0013371D"/>
    <w:rsid w:val="0013430C"/>
    <w:rsid w:val="00135781"/>
    <w:rsid w:val="001362B7"/>
    <w:rsid w:val="00136443"/>
    <w:rsid w:val="001408EE"/>
    <w:rsid w:val="00141656"/>
    <w:rsid w:val="00141CA7"/>
    <w:rsid w:val="00143926"/>
    <w:rsid w:val="001456FD"/>
    <w:rsid w:val="00147AD5"/>
    <w:rsid w:val="00147FD7"/>
    <w:rsid w:val="001502D7"/>
    <w:rsid w:val="00152A61"/>
    <w:rsid w:val="00152EAF"/>
    <w:rsid w:val="001540DF"/>
    <w:rsid w:val="001608B3"/>
    <w:rsid w:val="00160B06"/>
    <w:rsid w:val="0016281F"/>
    <w:rsid w:val="0016445B"/>
    <w:rsid w:val="0016589A"/>
    <w:rsid w:val="00170CFC"/>
    <w:rsid w:val="001726DB"/>
    <w:rsid w:val="001734D0"/>
    <w:rsid w:val="00176CAB"/>
    <w:rsid w:val="00176ED7"/>
    <w:rsid w:val="00177442"/>
    <w:rsid w:val="001801EB"/>
    <w:rsid w:val="001806E1"/>
    <w:rsid w:val="00180D65"/>
    <w:rsid w:val="00180EC8"/>
    <w:rsid w:val="00182831"/>
    <w:rsid w:val="00183606"/>
    <w:rsid w:val="00184554"/>
    <w:rsid w:val="00187250"/>
    <w:rsid w:val="0018749C"/>
    <w:rsid w:val="0018763E"/>
    <w:rsid w:val="001914E6"/>
    <w:rsid w:val="00192AB8"/>
    <w:rsid w:val="0019392D"/>
    <w:rsid w:val="00193BB8"/>
    <w:rsid w:val="00194301"/>
    <w:rsid w:val="00194CC9"/>
    <w:rsid w:val="00194DE2"/>
    <w:rsid w:val="001A4EB0"/>
    <w:rsid w:val="001A5A56"/>
    <w:rsid w:val="001B0182"/>
    <w:rsid w:val="001B1DF8"/>
    <w:rsid w:val="001B4D35"/>
    <w:rsid w:val="001B5D82"/>
    <w:rsid w:val="001B6C11"/>
    <w:rsid w:val="001B76FF"/>
    <w:rsid w:val="001B797D"/>
    <w:rsid w:val="001C1BD8"/>
    <w:rsid w:val="001C6B0A"/>
    <w:rsid w:val="001C75CB"/>
    <w:rsid w:val="001D1035"/>
    <w:rsid w:val="001D2830"/>
    <w:rsid w:val="001D39FC"/>
    <w:rsid w:val="001D59AA"/>
    <w:rsid w:val="001D74F2"/>
    <w:rsid w:val="001E03C9"/>
    <w:rsid w:val="001E164E"/>
    <w:rsid w:val="001E33CB"/>
    <w:rsid w:val="001E433B"/>
    <w:rsid w:val="001E68AD"/>
    <w:rsid w:val="001F7391"/>
    <w:rsid w:val="00200E4F"/>
    <w:rsid w:val="00201080"/>
    <w:rsid w:val="00201BE9"/>
    <w:rsid w:val="00204769"/>
    <w:rsid w:val="00205132"/>
    <w:rsid w:val="00206934"/>
    <w:rsid w:val="00206BFF"/>
    <w:rsid w:val="00212587"/>
    <w:rsid w:val="00213608"/>
    <w:rsid w:val="002138DE"/>
    <w:rsid w:val="00215E6B"/>
    <w:rsid w:val="0021658B"/>
    <w:rsid w:val="00216672"/>
    <w:rsid w:val="002179C1"/>
    <w:rsid w:val="00221B35"/>
    <w:rsid w:val="00223D3B"/>
    <w:rsid w:val="002256E2"/>
    <w:rsid w:val="002256F5"/>
    <w:rsid w:val="002257FE"/>
    <w:rsid w:val="00234112"/>
    <w:rsid w:val="0023470C"/>
    <w:rsid w:val="002355FE"/>
    <w:rsid w:val="0023576C"/>
    <w:rsid w:val="00243198"/>
    <w:rsid w:val="002502DB"/>
    <w:rsid w:val="00250CB1"/>
    <w:rsid w:val="0025289A"/>
    <w:rsid w:val="00253F85"/>
    <w:rsid w:val="00253FDD"/>
    <w:rsid w:val="0025452C"/>
    <w:rsid w:val="00261B71"/>
    <w:rsid w:val="00262165"/>
    <w:rsid w:val="00262C63"/>
    <w:rsid w:val="002630B9"/>
    <w:rsid w:val="00264BF2"/>
    <w:rsid w:val="00265A99"/>
    <w:rsid w:val="00270BF8"/>
    <w:rsid w:val="002715DD"/>
    <w:rsid w:val="00271C4A"/>
    <w:rsid w:val="002743C2"/>
    <w:rsid w:val="00275358"/>
    <w:rsid w:val="0027576C"/>
    <w:rsid w:val="00280356"/>
    <w:rsid w:val="00282CF1"/>
    <w:rsid w:val="00283570"/>
    <w:rsid w:val="002839BB"/>
    <w:rsid w:val="0028590F"/>
    <w:rsid w:val="00286A10"/>
    <w:rsid w:val="00286F91"/>
    <w:rsid w:val="002871F2"/>
    <w:rsid w:val="002920C7"/>
    <w:rsid w:val="00294B79"/>
    <w:rsid w:val="0029595E"/>
    <w:rsid w:val="00297838"/>
    <w:rsid w:val="002A55D0"/>
    <w:rsid w:val="002A5D15"/>
    <w:rsid w:val="002A7488"/>
    <w:rsid w:val="002B3200"/>
    <w:rsid w:val="002B3E98"/>
    <w:rsid w:val="002B5227"/>
    <w:rsid w:val="002B5A18"/>
    <w:rsid w:val="002C4B33"/>
    <w:rsid w:val="002C675A"/>
    <w:rsid w:val="002C70BD"/>
    <w:rsid w:val="002C780F"/>
    <w:rsid w:val="002D0C8B"/>
    <w:rsid w:val="002D12C9"/>
    <w:rsid w:val="002D2E97"/>
    <w:rsid w:val="002D7A69"/>
    <w:rsid w:val="002D7B96"/>
    <w:rsid w:val="002E1EB5"/>
    <w:rsid w:val="002E27C4"/>
    <w:rsid w:val="002E2BCA"/>
    <w:rsid w:val="002E3491"/>
    <w:rsid w:val="002E41F8"/>
    <w:rsid w:val="002E501D"/>
    <w:rsid w:val="002E6BB2"/>
    <w:rsid w:val="002E72E1"/>
    <w:rsid w:val="002F35C3"/>
    <w:rsid w:val="002F3E7E"/>
    <w:rsid w:val="002F459E"/>
    <w:rsid w:val="002F5307"/>
    <w:rsid w:val="002F572C"/>
    <w:rsid w:val="003011D1"/>
    <w:rsid w:val="003022AC"/>
    <w:rsid w:val="0030386E"/>
    <w:rsid w:val="0030558F"/>
    <w:rsid w:val="00310E6A"/>
    <w:rsid w:val="003115A2"/>
    <w:rsid w:val="00312E31"/>
    <w:rsid w:val="00312F60"/>
    <w:rsid w:val="0032026B"/>
    <w:rsid w:val="00320313"/>
    <w:rsid w:val="00323D04"/>
    <w:rsid w:val="00331079"/>
    <w:rsid w:val="00331130"/>
    <w:rsid w:val="0033189C"/>
    <w:rsid w:val="00331BD1"/>
    <w:rsid w:val="003360B0"/>
    <w:rsid w:val="00336604"/>
    <w:rsid w:val="0033770F"/>
    <w:rsid w:val="00343B8D"/>
    <w:rsid w:val="00343E1E"/>
    <w:rsid w:val="003445A2"/>
    <w:rsid w:val="00344A55"/>
    <w:rsid w:val="00344B9F"/>
    <w:rsid w:val="00344DD1"/>
    <w:rsid w:val="00350378"/>
    <w:rsid w:val="0035193C"/>
    <w:rsid w:val="00351D7F"/>
    <w:rsid w:val="00354920"/>
    <w:rsid w:val="00363762"/>
    <w:rsid w:val="00363C04"/>
    <w:rsid w:val="00366391"/>
    <w:rsid w:val="003709D8"/>
    <w:rsid w:val="00370C3A"/>
    <w:rsid w:val="00372B34"/>
    <w:rsid w:val="0037304F"/>
    <w:rsid w:val="00374A3B"/>
    <w:rsid w:val="0037542D"/>
    <w:rsid w:val="0037629C"/>
    <w:rsid w:val="00384575"/>
    <w:rsid w:val="00386C6A"/>
    <w:rsid w:val="003920FA"/>
    <w:rsid w:val="00392B0F"/>
    <w:rsid w:val="003952B8"/>
    <w:rsid w:val="00397046"/>
    <w:rsid w:val="003970B1"/>
    <w:rsid w:val="0039732C"/>
    <w:rsid w:val="003A0271"/>
    <w:rsid w:val="003A4EA9"/>
    <w:rsid w:val="003A5586"/>
    <w:rsid w:val="003A69CB"/>
    <w:rsid w:val="003A7795"/>
    <w:rsid w:val="003A79F1"/>
    <w:rsid w:val="003B3D63"/>
    <w:rsid w:val="003B4C41"/>
    <w:rsid w:val="003B51D0"/>
    <w:rsid w:val="003B52AA"/>
    <w:rsid w:val="003B58DD"/>
    <w:rsid w:val="003C3249"/>
    <w:rsid w:val="003C3394"/>
    <w:rsid w:val="003C3CD0"/>
    <w:rsid w:val="003C3FDE"/>
    <w:rsid w:val="003C6A7E"/>
    <w:rsid w:val="003C7336"/>
    <w:rsid w:val="003D581C"/>
    <w:rsid w:val="003E22BA"/>
    <w:rsid w:val="003E2771"/>
    <w:rsid w:val="003E54B0"/>
    <w:rsid w:val="003E64E2"/>
    <w:rsid w:val="003F0A09"/>
    <w:rsid w:val="003F2185"/>
    <w:rsid w:val="003F466B"/>
    <w:rsid w:val="003F778A"/>
    <w:rsid w:val="003F7FA8"/>
    <w:rsid w:val="00402C31"/>
    <w:rsid w:val="004030D8"/>
    <w:rsid w:val="00406A12"/>
    <w:rsid w:val="00407DDA"/>
    <w:rsid w:val="00415AF4"/>
    <w:rsid w:val="00417230"/>
    <w:rsid w:val="0042537B"/>
    <w:rsid w:val="004278DD"/>
    <w:rsid w:val="00431267"/>
    <w:rsid w:val="00433F28"/>
    <w:rsid w:val="004347ED"/>
    <w:rsid w:val="00435464"/>
    <w:rsid w:val="004366BB"/>
    <w:rsid w:val="00441E4E"/>
    <w:rsid w:val="00444CCF"/>
    <w:rsid w:val="004454B7"/>
    <w:rsid w:val="004456CB"/>
    <w:rsid w:val="0044699A"/>
    <w:rsid w:val="00450D73"/>
    <w:rsid w:val="00452EF5"/>
    <w:rsid w:val="0045455B"/>
    <w:rsid w:val="004549E0"/>
    <w:rsid w:val="0045598E"/>
    <w:rsid w:val="00470A67"/>
    <w:rsid w:val="00472045"/>
    <w:rsid w:val="00472102"/>
    <w:rsid w:val="00472350"/>
    <w:rsid w:val="00473AB8"/>
    <w:rsid w:val="00473ECC"/>
    <w:rsid w:val="00474E00"/>
    <w:rsid w:val="00476C1C"/>
    <w:rsid w:val="00482C18"/>
    <w:rsid w:val="0048532A"/>
    <w:rsid w:val="0048616C"/>
    <w:rsid w:val="004921B7"/>
    <w:rsid w:val="004950AF"/>
    <w:rsid w:val="00496763"/>
    <w:rsid w:val="004977DC"/>
    <w:rsid w:val="004A1CFE"/>
    <w:rsid w:val="004A1D8A"/>
    <w:rsid w:val="004A2872"/>
    <w:rsid w:val="004A45E7"/>
    <w:rsid w:val="004A62D9"/>
    <w:rsid w:val="004B10D7"/>
    <w:rsid w:val="004B3E7C"/>
    <w:rsid w:val="004B52ED"/>
    <w:rsid w:val="004B64F3"/>
    <w:rsid w:val="004C0008"/>
    <w:rsid w:val="004C00A8"/>
    <w:rsid w:val="004C189A"/>
    <w:rsid w:val="004C7234"/>
    <w:rsid w:val="004C77D4"/>
    <w:rsid w:val="004C7D7F"/>
    <w:rsid w:val="004C7F7B"/>
    <w:rsid w:val="004D0715"/>
    <w:rsid w:val="004D3576"/>
    <w:rsid w:val="004D43E6"/>
    <w:rsid w:val="004D57F2"/>
    <w:rsid w:val="004D6966"/>
    <w:rsid w:val="004D7060"/>
    <w:rsid w:val="004D7353"/>
    <w:rsid w:val="004D7AEA"/>
    <w:rsid w:val="004E46E1"/>
    <w:rsid w:val="004F37FE"/>
    <w:rsid w:val="004F74EC"/>
    <w:rsid w:val="005017E0"/>
    <w:rsid w:val="00502722"/>
    <w:rsid w:val="0050434C"/>
    <w:rsid w:val="005076FE"/>
    <w:rsid w:val="005126E4"/>
    <w:rsid w:val="00514EDD"/>
    <w:rsid w:val="00520FBA"/>
    <w:rsid w:val="00523A2A"/>
    <w:rsid w:val="00524A73"/>
    <w:rsid w:val="00525DEE"/>
    <w:rsid w:val="00533C85"/>
    <w:rsid w:val="00534BE9"/>
    <w:rsid w:val="0053589B"/>
    <w:rsid w:val="00535B2C"/>
    <w:rsid w:val="00536288"/>
    <w:rsid w:val="0054220C"/>
    <w:rsid w:val="00550269"/>
    <w:rsid w:val="00550DF4"/>
    <w:rsid w:val="00551675"/>
    <w:rsid w:val="005529E6"/>
    <w:rsid w:val="005544D2"/>
    <w:rsid w:val="00556B3B"/>
    <w:rsid w:val="00557E6C"/>
    <w:rsid w:val="005601B1"/>
    <w:rsid w:val="00560D40"/>
    <w:rsid w:val="005628FC"/>
    <w:rsid w:val="00563994"/>
    <w:rsid w:val="0056594B"/>
    <w:rsid w:val="005659FE"/>
    <w:rsid w:val="00566B1E"/>
    <w:rsid w:val="005718AE"/>
    <w:rsid w:val="0057746F"/>
    <w:rsid w:val="0058539F"/>
    <w:rsid w:val="0058789B"/>
    <w:rsid w:val="0059007C"/>
    <w:rsid w:val="0059111D"/>
    <w:rsid w:val="00592BEB"/>
    <w:rsid w:val="00592E94"/>
    <w:rsid w:val="005A2BC6"/>
    <w:rsid w:val="005B0183"/>
    <w:rsid w:val="005B1C48"/>
    <w:rsid w:val="005B4C10"/>
    <w:rsid w:val="005B6D9C"/>
    <w:rsid w:val="005D122C"/>
    <w:rsid w:val="005D13A3"/>
    <w:rsid w:val="005D2A20"/>
    <w:rsid w:val="005D3B50"/>
    <w:rsid w:val="005D50ED"/>
    <w:rsid w:val="005D519C"/>
    <w:rsid w:val="005D5481"/>
    <w:rsid w:val="005D66E9"/>
    <w:rsid w:val="005E02EF"/>
    <w:rsid w:val="005E4524"/>
    <w:rsid w:val="005E5528"/>
    <w:rsid w:val="005E558E"/>
    <w:rsid w:val="005E5B0D"/>
    <w:rsid w:val="005F0EA7"/>
    <w:rsid w:val="005F1775"/>
    <w:rsid w:val="005F3371"/>
    <w:rsid w:val="005F48E0"/>
    <w:rsid w:val="005F4F9E"/>
    <w:rsid w:val="00601842"/>
    <w:rsid w:val="00601943"/>
    <w:rsid w:val="00601D01"/>
    <w:rsid w:val="0060306C"/>
    <w:rsid w:val="00603238"/>
    <w:rsid w:val="00606F79"/>
    <w:rsid w:val="006105C8"/>
    <w:rsid w:val="0061289C"/>
    <w:rsid w:val="006130F4"/>
    <w:rsid w:val="00613328"/>
    <w:rsid w:val="00613AC5"/>
    <w:rsid w:val="00615C5F"/>
    <w:rsid w:val="00615CCB"/>
    <w:rsid w:val="0061761A"/>
    <w:rsid w:val="00622B48"/>
    <w:rsid w:val="00625471"/>
    <w:rsid w:val="00625539"/>
    <w:rsid w:val="00625BCE"/>
    <w:rsid w:val="006260AC"/>
    <w:rsid w:val="006271CA"/>
    <w:rsid w:val="00630468"/>
    <w:rsid w:val="00631EE4"/>
    <w:rsid w:val="00632652"/>
    <w:rsid w:val="00632DC6"/>
    <w:rsid w:val="00632E25"/>
    <w:rsid w:val="00635B97"/>
    <w:rsid w:val="00636435"/>
    <w:rsid w:val="006364C1"/>
    <w:rsid w:val="00636708"/>
    <w:rsid w:val="00636FC8"/>
    <w:rsid w:val="00640595"/>
    <w:rsid w:val="00646804"/>
    <w:rsid w:val="00652082"/>
    <w:rsid w:val="00653462"/>
    <w:rsid w:val="00660481"/>
    <w:rsid w:val="006612D7"/>
    <w:rsid w:val="00663AA4"/>
    <w:rsid w:val="006646FD"/>
    <w:rsid w:val="00664832"/>
    <w:rsid w:val="006669EA"/>
    <w:rsid w:val="00667F70"/>
    <w:rsid w:val="00671DDF"/>
    <w:rsid w:val="00674CF5"/>
    <w:rsid w:val="00677640"/>
    <w:rsid w:val="006823CC"/>
    <w:rsid w:val="0068327B"/>
    <w:rsid w:val="00687D81"/>
    <w:rsid w:val="006923A5"/>
    <w:rsid w:val="00692421"/>
    <w:rsid w:val="00693BCE"/>
    <w:rsid w:val="006953BD"/>
    <w:rsid w:val="006A2C25"/>
    <w:rsid w:val="006A56EF"/>
    <w:rsid w:val="006B0AE1"/>
    <w:rsid w:val="006B47B5"/>
    <w:rsid w:val="006C63A9"/>
    <w:rsid w:val="006C6D92"/>
    <w:rsid w:val="006D4C14"/>
    <w:rsid w:val="006D732C"/>
    <w:rsid w:val="006E0F35"/>
    <w:rsid w:val="006E2190"/>
    <w:rsid w:val="006E56FF"/>
    <w:rsid w:val="006E6EDB"/>
    <w:rsid w:val="006E7A6B"/>
    <w:rsid w:val="006F177E"/>
    <w:rsid w:val="006F44E2"/>
    <w:rsid w:val="006F5DE8"/>
    <w:rsid w:val="006F632C"/>
    <w:rsid w:val="006F7DFA"/>
    <w:rsid w:val="007006A5"/>
    <w:rsid w:val="00700818"/>
    <w:rsid w:val="00701A4F"/>
    <w:rsid w:val="00703E0A"/>
    <w:rsid w:val="0071271D"/>
    <w:rsid w:val="00713A82"/>
    <w:rsid w:val="0072156C"/>
    <w:rsid w:val="007259B9"/>
    <w:rsid w:val="0073185E"/>
    <w:rsid w:val="00740F3A"/>
    <w:rsid w:val="007429BC"/>
    <w:rsid w:val="00743502"/>
    <w:rsid w:val="00746E11"/>
    <w:rsid w:val="007504D0"/>
    <w:rsid w:val="00750945"/>
    <w:rsid w:val="007539E8"/>
    <w:rsid w:val="007551E3"/>
    <w:rsid w:val="00755C8D"/>
    <w:rsid w:val="00760004"/>
    <w:rsid w:val="007603E7"/>
    <w:rsid w:val="00764956"/>
    <w:rsid w:val="00770B8D"/>
    <w:rsid w:val="00771203"/>
    <w:rsid w:val="00776607"/>
    <w:rsid w:val="00782290"/>
    <w:rsid w:val="00782375"/>
    <w:rsid w:val="00782486"/>
    <w:rsid w:val="00782CC4"/>
    <w:rsid w:val="00782DCB"/>
    <w:rsid w:val="0078301D"/>
    <w:rsid w:val="007838A7"/>
    <w:rsid w:val="007853EC"/>
    <w:rsid w:val="0079399D"/>
    <w:rsid w:val="007A0D19"/>
    <w:rsid w:val="007A76EF"/>
    <w:rsid w:val="007B5457"/>
    <w:rsid w:val="007B6AC8"/>
    <w:rsid w:val="007B7922"/>
    <w:rsid w:val="007C09F8"/>
    <w:rsid w:val="007C23BD"/>
    <w:rsid w:val="007C7A34"/>
    <w:rsid w:val="007D03C0"/>
    <w:rsid w:val="007D0A14"/>
    <w:rsid w:val="007D31EA"/>
    <w:rsid w:val="007D3F2F"/>
    <w:rsid w:val="007D3F78"/>
    <w:rsid w:val="007D4191"/>
    <w:rsid w:val="007D4353"/>
    <w:rsid w:val="007D71B7"/>
    <w:rsid w:val="007E10ED"/>
    <w:rsid w:val="007E31A4"/>
    <w:rsid w:val="007E3728"/>
    <w:rsid w:val="007E5DDF"/>
    <w:rsid w:val="007F1545"/>
    <w:rsid w:val="007F2194"/>
    <w:rsid w:val="007F440A"/>
    <w:rsid w:val="007F484A"/>
    <w:rsid w:val="00805281"/>
    <w:rsid w:val="00805C4B"/>
    <w:rsid w:val="008062DB"/>
    <w:rsid w:val="00806803"/>
    <w:rsid w:val="00807D5E"/>
    <w:rsid w:val="00813DF0"/>
    <w:rsid w:val="00816950"/>
    <w:rsid w:val="00816E05"/>
    <w:rsid w:val="00823A75"/>
    <w:rsid w:val="00824902"/>
    <w:rsid w:val="0083182D"/>
    <w:rsid w:val="00831F97"/>
    <w:rsid w:val="0083285E"/>
    <w:rsid w:val="0083496D"/>
    <w:rsid w:val="008362E6"/>
    <w:rsid w:val="00842A8B"/>
    <w:rsid w:val="00847ED3"/>
    <w:rsid w:val="0085158C"/>
    <w:rsid w:val="00854C64"/>
    <w:rsid w:val="00856D41"/>
    <w:rsid w:val="00857C28"/>
    <w:rsid w:val="0086065F"/>
    <w:rsid w:val="00862D98"/>
    <w:rsid w:val="00863128"/>
    <w:rsid w:val="00863A1E"/>
    <w:rsid w:val="00864759"/>
    <w:rsid w:val="00864C59"/>
    <w:rsid w:val="00865C90"/>
    <w:rsid w:val="008663BD"/>
    <w:rsid w:val="0086661F"/>
    <w:rsid w:val="00866BDC"/>
    <w:rsid w:val="00873251"/>
    <w:rsid w:val="008738A3"/>
    <w:rsid w:val="00874585"/>
    <w:rsid w:val="00876224"/>
    <w:rsid w:val="00884B7F"/>
    <w:rsid w:val="00885101"/>
    <w:rsid w:val="008918B9"/>
    <w:rsid w:val="0089466D"/>
    <w:rsid w:val="00897D44"/>
    <w:rsid w:val="008A1A1A"/>
    <w:rsid w:val="008A43AA"/>
    <w:rsid w:val="008A4A05"/>
    <w:rsid w:val="008A5AC0"/>
    <w:rsid w:val="008B1F98"/>
    <w:rsid w:val="008B474C"/>
    <w:rsid w:val="008B5D4A"/>
    <w:rsid w:val="008B6DA4"/>
    <w:rsid w:val="008C041A"/>
    <w:rsid w:val="008C1733"/>
    <w:rsid w:val="008C1A90"/>
    <w:rsid w:val="008C1D60"/>
    <w:rsid w:val="008C419C"/>
    <w:rsid w:val="008C525F"/>
    <w:rsid w:val="008D21B2"/>
    <w:rsid w:val="008D306A"/>
    <w:rsid w:val="008D3C4E"/>
    <w:rsid w:val="008E04D5"/>
    <w:rsid w:val="008E1D87"/>
    <w:rsid w:val="008E3A68"/>
    <w:rsid w:val="008E4C19"/>
    <w:rsid w:val="008E6C9E"/>
    <w:rsid w:val="008F09BB"/>
    <w:rsid w:val="008F0A13"/>
    <w:rsid w:val="008F6735"/>
    <w:rsid w:val="008F72F8"/>
    <w:rsid w:val="009040E1"/>
    <w:rsid w:val="009046CE"/>
    <w:rsid w:val="00907872"/>
    <w:rsid w:val="009108D3"/>
    <w:rsid w:val="00912EEC"/>
    <w:rsid w:val="0091342F"/>
    <w:rsid w:val="0091571E"/>
    <w:rsid w:val="009166B3"/>
    <w:rsid w:val="009217C2"/>
    <w:rsid w:val="0092424F"/>
    <w:rsid w:val="00925879"/>
    <w:rsid w:val="00927C50"/>
    <w:rsid w:val="0093228F"/>
    <w:rsid w:val="00933495"/>
    <w:rsid w:val="00933C2E"/>
    <w:rsid w:val="00934DA9"/>
    <w:rsid w:val="00937DF2"/>
    <w:rsid w:val="0094047F"/>
    <w:rsid w:val="00940F0D"/>
    <w:rsid w:val="009451B3"/>
    <w:rsid w:val="00945EAD"/>
    <w:rsid w:val="009500A0"/>
    <w:rsid w:val="00957894"/>
    <w:rsid w:val="00957A0A"/>
    <w:rsid w:val="00967E2F"/>
    <w:rsid w:val="00970355"/>
    <w:rsid w:val="00970780"/>
    <w:rsid w:val="00970E85"/>
    <w:rsid w:val="00971C96"/>
    <w:rsid w:val="009721D9"/>
    <w:rsid w:val="009734B2"/>
    <w:rsid w:val="00973D8E"/>
    <w:rsid w:val="00974261"/>
    <w:rsid w:val="00974E09"/>
    <w:rsid w:val="009752C8"/>
    <w:rsid w:val="00977D36"/>
    <w:rsid w:val="0098221D"/>
    <w:rsid w:val="00987699"/>
    <w:rsid w:val="00987CA6"/>
    <w:rsid w:val="00992384"/>
    <w:rsid w:val="00996CAA"/>
    <w:rsid w:val="009A02EA"/>
    <w:rsid w:val="009A18BB"/>
    <w:rsid w:val="009A27B9"/>
    <w:rsid w:val="009A36AD"/>
    <w:rsid w:val="009A4595"/>
    <w:rsid w:val="009A4A3E"/>
    <w:rsid w:val="009A582C"/>
    <w:rsid w:val="009B1C17"/>
    <w:rsid w:val="009B2C9F"/>
    <w:rsid w:val="009B455B"/>
    <w:rsid w:val="009C0D31"/>
    <w:rsid w:val="009C46CA"/>
    <w:rsid w:val="009C5AA5"/>
    <w:rsid w:val="009C7D50"/>
    <w:rsid w:val="009D2F17"/>
    <w:rsid w:val="009D351E"/>
    <w:rsid w:val="009D441B"/>
    <w:rsid w:val="009D4820"/>
    <w:rsid w:val="009D57A9"/>
    <w:rsid w:val="009D707E"/>
    <w:rsid w:val="009E0068"/>
    <w:rsid w:val="009E28FB"/>
    <w:rsid w:val="009E2CF8"/>
    <w:rsid w:val="009E2F3D"/>
    <w:rsid w:val="009E4DD3"/>
    <w:rsid w:val="009E5593"/>
    <w:rsid w:val="009E5CAF"/>
    <w:rsid w:val="009F49FF"/>
    <w:rsid w:val="009F62AC"/>
    <w:rsid w:val="009F6C9A"/>
    <w:rsid w:val="00A042D2"/>
    <w:rsid w:val="00A04E98"/>
    <w:rsid w:val="00A06192"/>
    <w:rsid w:val="00A062EA"/>
    <w:rsid w:val="00A13CA5"/>
    <w:rsid w:val="00A15BEF"/>
    <w:rsid w:val="00A17EEC"/>
    <w:rsid w:val="00A222B4"/>
    <w:rsid w:val="00A2279E"/>
    <w:rsid w:val="00A22B70"/>
    <w:rsid w:val="00A26B53"/>
    <w:rsid w:val="00A27A2C"/>
    <w:rsid w:val="00A314E3"/>
    <w:rsid w:val="00A3154B"/>
    <w:rsid w:val="00A35F22"/>
    <w:rsid w:val="00A368B5"/>
    <w:rsid w:val="00A41FBF"/>
    <w:rsid w:val="00A42305"/>
    <w:rsid w:val="00A453ED"/>
    <w:rsid w:val="00A454F6"/>
    <w:rsid w:val="00A511B0"/>
    <w:rsid w:val="00A52D57"/>
    <w:rsid w:val="00A53977"/>
    <w:rsid w:val="00A55D08"/>
    <w:rsid w:val="00A6273F"/>
    <w:rsid w:val="00A62BC3"/>
    <w:rsid w:val="00A631EC"/>
    <w:rsid w:val="00A64923"/>
    <w:rsid w:val="00A64AFC"/>
    <w:rsid w:val="00A71940"/>
    <w:rsid w:val="00A719C2"/>
    <w:rsid w:val="00A71D2F"/>
    <w:rsid w:val="00A72076"/>
    <w:rsid w:val="00A73121"/>
    <w:rsid w:val="00A73C25"/>
    <w:rsid w:val="00A746F9"/>
    <w:rsid w:val="00A7687F"/>
    <w:rsid w:val="00A7700E"/>
    <w:rsid w:val="00A85C2F"/>
    <w:rsid w:val="00A86A50"/>
    <w:rsid w:val="00A87AC4"/>
    <w:rsid w:val="00A900EB"/>
    <w:rsid w:val="00A91784"/>
    <w:rsid w:val="00A92EFD"/>
    <w:rsid w:val="00A95730"/>
    <w:rsid w:val="00AA02B1"/>
    <w:rsid w:val="00AA06ED"/>
    <w:rsid w:val="00AA23F9"/>
    <w:rsid w:val="00AA36A5"/>
    <w:rsid w:val="00AA4C44"/>
    <w:rsid w:val="00AA7278"/>
    <w:rsid w:val="00AB2470"/>
    <w:rsid w:val="00AB2D4D"/>
    <w:rsid w:val="00AB40D1"/>
    <w:rsid w:val="00AB7247"/>
    <w:rsid w:val="00AC1BDC"/>
    <w:rsid w:val="00AD2351"/>
    <w:rsid w:val="00AD6EDD"/>
    <w:rsid w:val="00AE2AA9"/>
    <w:rsid w:val="00AE33D9"/>
    <w:rsid w:val="00AE5A9C"/>
    <w:rsid w:val="00AE5E5F"/>
    <w:rsid w:val="00AF2E19"/>
    <w:rsid w:val="00AF4723"/>
    <w:rsid w:val="00AF688C"/>
    <w:rsid w:val="00AF704D"/>
    <w:rsid w:val="00B0120D"/>
    <w:rsid w:val="00B0225E"/>
    <w:rsid w:val="00B03137"/>
    <w:rsid w:val="00B05871"/>
    <w:rsid w:val="00B06192"/>
    <w:rsid w:val="00B0664F"/>
    <w:rsid w:val="00B075EC"/>
    <w:rsid w:val="00B10779"/>
    <w:rsid w:val="00B108A2"/>
    <w:rsid w:val="00B112B9"/>
    <w:rsid w:val="00B1276F"/>
    <w:rsid w:val="00B1282D"/>
    <w:rsid w:val="00B14482"/>
    <w:rsid w:val="00B176A6"/>
    <w:rsid w:val="00B22339"/>
    <w:rsid w:val="00B23172"/>
    <w:rsid w:val="00B23440"/>
    <w:rsid w:val="00B24070"/>
    <w:rsid w:val="00B3015D"/>
    <w:rsid w:val="00B30E62"/>
    <w:rsid w:val="00B33218"/>
    <w:rsid w:val="00B33D43"/>
    <w:rsid w:val="00B343F3"/>
    <w:rsid w:val="00B353EF"/>
    <w:rsid w:val="00B365BB"/>
    <w:rsid w:val="00B43A65"/>
    <w:rsid w:val="00B505DB"/>
    <w:rsid w:val="00B5089B"/>
    <w:rsid w:val="00B51066"/>
    <w:rsid w:val="00B56884"/>
    <w:rsid w:val="00B61702"/>
    <w:rsid w:val="00B628D8"/>
    <w:rsid w:val="00B63410"/>
    <w:rsid w:val="00B665E3"/>
    <w:rsid w:val="00B70A13"/>
    <w:rsid w:val="00B70D7D"/>
    <w:rsid w:val="00B713DB"/>
    <w:rsid w:val="00B73BD8"/>
    <w:rsid w:val="00B770DD"/>
    <w:rsid w:val="00B815A3"/>
    <w:rsid w:val="00B956B8"/>
    <w:rsid w:val="00B97906"/>
    <w:rsid w:val="00B97F3D"/>
    <w:rsid w:val="00BA1216"/>
    <w:rsid w:val="00BA40D3"/>
    <w:rsid w:val="00BA7A0D"/>
    <w:rsid w:val="00BB0B02"/>
    <w:rsid w:val="00BB33B8"/>
    <w:rsid w:val="00BB3CC0"/>
    <w:rsid w:val="00BB3D92"/>
    <w:rsid w:val="00BB4087"/>
    <w:rsid w:val="00BB474A"/>
    <w:rsid w:val="00BB7524"/>
    <w:rsid w:val="00BB7A5D"/>
    <w:rsid w:val="00BB7AF4"/>
    <w:rsid w:val="00BC030C"/>
    <w:rsid w:val="00BC07B4"/>
    <w:rsid w:val="00BC2BD5"/>
    <w:rsid w:val="00BC5ED9"/>
    <w:rsid w:val="00BC6F2C"/>
    <w:rsid w:val="00BD0A7F"/>
    <w:rsid w:val="00BD6F06"/>
    <w:rsid w:val="00BE1008"/>
    <w:rsid w:val="00BE22B4"/>
    <w:rsid w:val="00BE2A95"/>
    <w:rsid w:val="00BE75DD"/>
    <w:rsid w:val="00BE7743"/>
    <w:rsid w:val="00BF16DD"/>
    <w:rsid w:val="00BF5D31"/>
    <w:rsid w:val="00C03C83"/>
    <w:rsid w:val="00C03F79"/>
    <w:rsid w:val="00C06F9D"/>
    <w:rsid w:val="00C07E1F"/>
    <w:rsid w:val="00C12E64"/>
    <w:rsid w:val="00C1569B"/>
    <w:rsid w:val="00C15AEF"/>
    <w:rsid w:val="00C2198C"/>
    <w:rsid w:val="00C226E5"/>
    <w:rsid w:val="00C24925"/>
    <w:rsid w:val="00C27ACC"/>
    <w:rsid w:val="00C320E0"/>
    <w:rsid w:val="00C33C5B"/>
    <w:rsid w:val="00C363BE"/>
    <w:rsid w:val="00C37398"/>
    <w:rsid w:val="00C40F89"/>
    <w:rsid w:val="00C41328"/>
    <w:rsid w:val="00C415F6"/>
    <w:rsid w:val="00C42556"/>
    <w:rsid w:val="00C45637"/>
    <w:rsid w:val="00C45C3E"/>
    <w:rsid w:val="00C50A7F"/>
    <w:rsid w:val="00C524D4"/>
    <w:rsid w:val="00C524F8"/>
    <w:rsid w:val="00C545AB"/>
    <w:rsid w:val="00C55433"/>
    <w:rsid w:val="00C56CB2"/>
    <w:rsid w:val="00C57AE8"/>
    <w:rsid w:val="00C6105F"/>
    <w:rsid w:val="00C62439"/>
    <w:rsid w:val="00C63343"/>
    <w:rsid w:val="00C63E89"/>
    <w:rsid w:val="00C64D39"/>
    <w:rsid w:val="00C657A8"/>
    <w:rsid w:val="00C65A23"/>
    <w:rsid w:val="00C668FB"/>
    <w:rsid w:val="00C6785C"/>
    <w:rsid w:val="00C67F0A"/>
    <w:rsid w:val="00C74AF1"/>
    <w:rsid w:val="00C7766E"/>
    <w:rsid w:val="00C804D5"/>
    <w:rsid w:val="00C827ED"/>
    <w:rsid w:val="00C82D3B"/>
    <w:rsid w:val="00C830C8"/>
    <w:rsid w:val="00C85937"/>
    <w:rsid w:val="00C867C9"/>
    <w:rsid w:val="00C86816"/>
    <w:rsid w:val="00C91BC2"/>
    <w:rsid w:val="00C938EE"/>
    <w:rsid w:val="00C94F2E"/>
    <w:rsid w:val="00C95926"/>
    <w:rsid w:val="00C978C5"/>
    <w:rsid w:val="00CA1DCB"/>
    <w:rsid w:val="00CA3483"/>
    <w:rsid w:val="00CA5050"/>
    <w:rsid w:val="00CB4632"/>
    <w:rsid w:val="00CB5DA0"/>
    <w:rsid w:val="00CC34D0"/>
    <w:rsid w:val="00CC3D17"/>
    <w:rsid w:val="00CC5466"/>
    <w:rsid w:val="00CC68F7"/>
    <w:rsid w:val="00CE0431"/>
    <w:rsid w:val="00CE3C68"/>
    <w:rsid w:val="00CF036D"/>
    <w:rsid w:val="00CF3A64"/>
    <w:rsid w:val="00CF42BA"/>
    <w:rsid w:val="00CF5FF9"/>
    <w:rsid w:val="00CF738F"/>
    <w:rsid w:val="00D01001"/>
    <w:rsid w:val="00D035E1"/>
    <w:rsid w:val="00D04A0B"/>
    <w:rsid w:val="00D1051E"/>
    <w:rsid w:val="00D11809"/>
    <w:rsid w:val="00D11D28"/>
    <w:rsid w:val="00D12178"/>
    <w:rsid w:val="00D12B55"/>
    <w:rsid w:val="00D12BEE"/>
    <w:rsid w:val="00D1474D"/>
    <w:rsid w:val="00D16776"/>
    <w:rsid w:val="00D17BF2"/>
    <w:rsid w:val="00D22524"/>
    <w:rsid w:val="00D23AC2"/>
    <w:rsid w:val="00D26F6E"/>
    <w:rsid w:val="00D272A6"/>
    <w:rsid w:val="00D27314"/>
    <w:rsid w:val="00D27CEC"/>
    <w:rsid w:val="00D3311D"/>
    <w:rsid w:val="00D36599"/>
    <w:rsid w:val="00D368D6"/>
    <w:rsid w:val="00D40BC9"/>
    <w:rsid w:val="00D4643A"/>
    <w:rsid w:val="00D500AC"/>
    <w:rsid w:val="00D536D7"/>
    <w:rsid w:val="00D609A6"/>
    <w:rsid w:val="00D63818"/>
    <w:rsid w:val="00D63DE4"/>
    <w:rsid w:val="00D644E0"/>
    <w:rsid w:val="00D80511"/>
    <w:rsid w:val="00D8335D"/>
    <w:rsid w:val="00D84515"/>
    <w:rsid w:val="00D87427"/>
    <w:rsid w:val="00D91963"/>
    <w:rsid w:val="00D94308"/>
    <w:rsid w:val="00D94A2A"/>
    <w:rsid w:val="00D95E94"/>
    <w:rsid w:val="00D96952"/>
    <w:rsid w:val="00D97331"/>
    <w:rsid w:val="00DA1146"/>
    <w:rsid w:val="00DA1D12"/>
    <w:rsid w:val="00DA271F"/>
    <w:rsid w:val="00DA5215"/>
    <w:rsid w:val="00DA6E41"/>
    <w:rsid w:val="00DB351A"/>
    <w:rsid w:val="00DB389C"/>
    <w:rsid w:val="00DB4A97"/>
    <w:rsid w:val="00DB561F"/>
    <w:rsid w:val="00DB62F9"/>
    <w:rsid w:val="00DB701B"/>
    <w:rsid w:val="00DC769B"/>
    <w:rsid w:val="00DC7ACC"/>
    <w:rsid w:val="00DD1959"/>
    <w:rsid w:val="00DD5B20"/>
    <w:rsid w:val="00DD760B"/>
    <w:rsid w:val="00DE284F"/>
    <w:rsid w:val="00DE31CF"/>
    <w:rsid w:val="00DE43B4"/>
    <w:rsid w:val="00DE4DBE"/>
    <w:rsid w:val="00DE6531"/>
    <w:rsid w:val="00DE7093"/>
    <w:rsid w:val="00DF0372"/>
    <w:rsid w:val="00DF07AA"/>
    <w:rsid w:val="00DF082F"/>
    <w:rsid w:val="00DF1501"/>
    <w:rsid w:val="00DF274B"/>
    <w:rsid w:val="00DF2813"/>
    <w:rsid w:val="00DF600A"/>
    <w:rsid w:val="00E0185A"/>
    <w:rsid w:val="00E01EF1"/>
    <w:rsid w:val="00E02990"/>
    <w:rsid w:val="00E03152"/>
    <w:rsid w:val="00E0705A"/>
    <w:rsid w:val="00E07E1F"/>
    <w:rsid w:val="00E10AB9"/>
    <w:rsid w:val="00E12A55"/>
    <w:rsid w:val="00E13AB3"/>
    <w:rsid w:val="00E151F7"/>
    <w:rsid w:val="00E1655C"/>
    <w:rsid w:val="00E16CD6"/>
    <w:rsid w:val="00E17391"/>
    <w:rsid w:val="00E21F33"/>
    <w:rsid w:val="00E25562"/>
    <w:rsid w:val="00E26C88"/>
    <w:rsid w:val="00E32E1A"/>
    <w:rsid w:val="00E33E93"/>
    <w:rsid w:val="00E33EEC"/>
    <w:rsid w:val="00E37D0B"/>
    <w:rsid w:val="00E4091A"/>
    <w:rsid w:val="00E40CA5"/>
    <w:rsid w:val="00E410C0"/>
    <w:rsid w:val="00E428CC"/>
    <w:rsid w:val="00E42DC2"/>
    <w:rsid w:val="00E4508E"/>
    <w:rsid w:val="00E47C82"/>
    <w:rsid w:val="00E505D6"/>
    <w:rsid w:val="00E52DE4"/>
    <w:rsid w:val="00E54D64"/>
    <w:rsid w:val="00E562EE"/>
    <w:rsid w:val="00E5720B"/>
    <w:rsid w:val="00E57762"/>
    <w:rsid w:val="00E62476"/>
    <w:rsid w:val="00E637A6"/>
    <w:rsid w:val="00E648A7"/>
    <w:rsid w:val="00E64D19"/>
    <w:rsid w:val="00E67BBD"/>
    <w:rsid w:val="00E67E01"/>
    <w:rsid w:val="00E75AB0"/>
    <w:rsid w:val="00E803E0"/>
    <w:rsid w:val="00E82CE5"/>
    <w:rsid w:val="00E8377A"/>
    <w:rsid w:val="00E84EF1"/>
    <w:rsid w:val="00E8669F"/>
    <w:rsid w:val="00E910D3"/>
    <w:rsid w:val="00E91AB3"/>
    <w:rsid w:val="00E9236C"/>
    <w:rsid w:val="00EA65C0"/>
    <w:rsid w:val="00EB1711"/>
    <w:rsid w:val="00EB1D4B"/>
    <w:rsid w:val="00EB1D62"/>
    <w:rsid w:val="00EB21A0"/>
    <w:rsid w:val="00EB363F"/>
    <w:rsid w:val="00EB4FFE"/>
    <w:rsid w:val="00EB68D0"/>
    <w:rsid w:val="00EC0B5A"/>
    <w:rsid w:val="00EC0D04"/>
    <w:rsid w:val="00EC4469"/>
    <w:rsid w:val="00EC507A"/>
    <w:rsid w:val="00EC58B0"/>
    <w:rsid w:val="00ED0B78"/>
    <w:rsid w:val="00ED120F"/>
    <w:rsid w:val="00ED29D9"/>
    <w:rsid w:val="00ED31E6"/>
    <w:rsid w:val="00ED6CD3"/>
    <w:rsid w:val="00EE2BA9"/>
    <w:rsid w:val="00EE3012"/>
    <w:rsid w:val="00EE4ED6"/>
    <w:rsid w:val="00EE56B0"/>
    <w:rsid w:val="00EE6475"/>
    <w:rsid w:val="00EF1A1B"/>
    <w:rsid w:val="00EF3F83"/>
    <w:rsid w:val="00EF5178"/>
    <w:rsid w:val="00F00FF7"/>
    <w:rsid w:val="00F058E9"/>
    <w:rsid w:val="00F06689"/>
    <w:rsid w:val="00F06ACC"/>
    <w:rsid w:val="00F10595"/>
    <w:rsid w:val="00F1149E"/>
    <w:rsid w:val="00F135F7"/>
    <w:rsid w:val="00F170BF"/>
    <w:rsid w:val="00F2113B"/>
    <w:rsid w:val="00F21275"/>
    <w:rsid w:val="00F21C44"/>
    <w:rsid w:val="00F23C7A"/>
    <w:rsid w:val="00F303BC"/>
    <w:rsid w:val="00F3329E"/>
    <w:rsid w:val="00F335AC"/>
    <w:rsid w:val="00F33712"/>
    <w:rsid w:val="00F3371E"/>
    <w:rsid w:val="00F416B2"/>
    <w:rsid w:val="00F43A77"/>
    <w:rsid w:val="00F44B3F"/>
    <w:rsid w:val="00F470A9"/>
    <w:rsid w:val="00F472F9"/>
    <w:rsid w:val="00F50824"/>
    <w:rsid w:val="00F532CD"/>
    <w:rsid w:val="00F55028"/>
    <w:rsid w:val="00F550F2"/>
    <w:rsid w:val="00F56E74"/>
    <w:rsid w:val="00F60B3D"/>
    <w:rsid w:val="00F60E44"/>
    <w:rsid w:val="00F60F8F"/>
    <w:rsid w:val="00F610A6"/>
    <w:rsid w:val="00F65F1A"/>
    <w:rsid w:val="00F706DF"/>
    <w:rsid w:val="00F70E1B"/>
    <w:rsid w:val="00F7377E"/>
    <w:rsid w:val="00F73B9C"/>
    <w:rsid w:val="00F8360B"/>
    <w:rsid w:val="00F8461E"/>
    <w:rsid w:val="00F853B0"/>
    <w:rsid w:val="00F85722"/>
    <w:rsid w:val="00F86CB5"/>
    <w:rsid w:val="00F8712C"/>
    <w:rsid w:val="00F93C0A"/>
    <w:rsid w:val="00F946E8"/>
    <w:rsid w:val="00F946F5"/>
    <w:rsid w:val="00F97294"/>
    <w:rsid w:val="00FA078E"/>
    <w:rsid w:val="00FA114C"/>
    <w:rsid w:val="00FB164C"/>
    <w:rsid w:val="00FB1655"/>
    <w:rsid w:val="00FB548F"/>
    <w:rsid w:val="00FB6223"/>
    <w:rsid w:val="00FB6275"/>
    <w:rsid w:val="00FC0C47"/>
    <w:rsid w:val="00FC272B"/>
    <w:rsid w:val="00FC35CF"/>
    <w:rsid w:val="00FC48D8"/>
    <w:rsid w:val="00FC5DB5"/>
    <w:rsid w:val="00FC6BBC"/>
    <w:rsid w:val="00FC7271"/>
    <w:rsid w:val="00FD0F2A"/>
    <w:rsid w:val="00FD12F1"/>
    <w:rsid w:val="00FD134A"/>
    <w:rsid w:val="00FD2A98"/>
    <w:rsid w:val="00FD3070"/>
    <w:rsid w:val="00FD3567"/>
    <w:rsid w:val="00FE13BA"/>
    <w:rsid w:val="00FE29D7"/>
    <w:rsid w:val="00FE3D08"/>
    <w:rsid w:val="00FE63E8"/>
    <w:rsid w:val="00FE68D6"/>
    <w:rsid w:val="00FE77A2"/>
    <w:rsid w:val="00FF07FE"/>
    <w:rsid w:val="00FF19AD"/>
    <w:rsid w:val="00FF1BE1"/>
    <w:rsid w:val="00FF5002"/>
    <w:rsid w:val="00FF5B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96745"/>
  <w15:docId w15:val="{E6B537A0-560A-495A-9998-C0CDB219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355"/>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970355"/>
    <w:pPr>
      <w:keepNext/>
      <w:ind w:right="23"/>
      <w:outlineLvl w:val="0"/>
    </w:pPr>
    <w:rPr>
      <w:rFonts w:ascii="Arial" w:hAnsi="Arial" w:cs="Arial"/>
      <w:kern w:val="36"/>
      <w:sz w:val="36"/>
      <w:szCs w:val="36"/>
    </w:rPr>
  </w:style>
  <w:style w:type="paragraph" w:styleId="Titre2">
    <w:name w:val="heading 2"/>
    <w:basedOn w:val="Normal"/>
    <w:next w:val="Normal"/>
    <w:link w:val="Titre2Car"/>
    <w:uiPriority w:val="9"/>
    <w:semiHidden/>
    <w:unhideWhenUsed/>
    <w:qFormat/>
    <w:rsid w:val="007127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E6BB2"/>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EB1D4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0355"/>
    <w:rPr>
      <w:rFonts w:ascii="Arial" w:hAnsi="Arial" w:cs="Arial"/>
      <w:kern w:val="36"/>
      <w:sz w:val="36"/>
      <w:szCs w:val="36"/>
      <w:lang w:eastAsia="fr-FR"/>
    </w:rPr>
  </w:style>
  <w:style w:type="character" w:styleId="Lienhypertexte">
    <w:name w:val="Hyperlink"/>
    <w:basedOn w:val="Policepardfaut"/>
    <w:uiPriority w:val="99"/>
    <w:unhideWhenUsed/>
    <w:rsid w:val="00970355"/>
    <w:rPr>
      <w:color w:val="0000FF"/>
      <w:u w:val="single"/>
    </w:rPr>
  </w:style>
  <w:style w:type="paragraph" w:styleId="Corpsdetexte">
    <w:name w:val="Body Text"/>
    <w:basedOn w:val="Normal"/>
    <w:link w:val="CorpsdetexteCar"/>
    <w:uiPriority w:val="99"/>
    <w:semiHidden/>
    <w:unhideWhenUsed/>
    <w:rsid w:val="00970355"/>
    <w:pPr>
      <w:ind w:right="23"/>
    </w:pPr>
    <w:rPr>
      <w:sz w:val="20"/>
      <w:szCs w:val="20"/>
    </w:rPr>
  </w:style>
  <w:style w:type="character" w:customStyle="1" w:styleId="CorpsdetexteCar">
    <w:name w:val="Corps de texte Car"/>
    <w:basedOn w:val="Policepardfaut"/>
    <w:link w:val="Corpsdetexte"/>
    <w:uiPriority w:val="99"/>
    <w:semiHidden/>
    <w:rsid w:val="00970355"/>
    <w:rPr>
      <w:rFonts w:ascii="Times New Roman" w:hAnsi="Times New Roman" w:cs="Times New Roman"/>
      <w:sz w:val="20"/>
      <w:szCs w:val="20"/>
      <w:lang w:eastAsia="fr-FR"/>
    </w:rPr>
  </w:style>
  <w:style w:type="character" w:customStyle="1" w:styleId="apple-converted-space">
    <w:name w:val="apple-converted-space"/>
    <w:basedOn w:val="Policepardfaut"/>
    <w:rsid w:val="001362B7"/>
  </w:style>
  <w:style w:type="paragraph" w:styleId="Sansinterligne">
    <w:name w:val="No Spacing"/>
    <w:uiPriority w:val="1"/>
    <w:qFormat/>
    <w:rsid w:val="00873251"/>
    <w:pPr>
      <w:spacing w:after="0" w:line="240" w:lineRule="auto"/>
    </w:pPr>
    <w:rPr>
      <w:rFonts w:ascii="Times New Roman" w:hAnsi="Times New Roman" w:cs="Times New Roman"/>
      <w:sz w:val="24"/>
      <w:szCs w:val="24"/>
      <w:lang w:eastAsia="fr-FR"/>
    </w:rPr>
  </w:style>
  <w:style w:type="character" w:customStyle="1" w:styleId="screen-name">
    <w:name w:val="screen-name"/>
    <w:basedOn w:val="Policepardfaut"/>
    <w:rsid w:val="00CC3D17"/>
  </w:style>
  <w:style w:type="paragraph" w:styleId="Textedebulles">
    <w:name w:val="Balloon Text"/>
    <w:basedOn w:val="Normal"/>
    <w:link w:val="TextedebullesCar"/>
    <w:uiPriority w:val="99"/>
    <w:semiHidden/>
    <w:unhideWhenUsed/>
    <w:rsid w:val="00C1569B"/>
    <w:rPr>
      <w:rFonts w:ascii="Tahoma" w:hAnsi="Tahoma" w:cs="Tahoma"/>
      <w:sz w:val="16"/>
      <w:szCs w:val="16"/>
    </w:rPr>
  </w:style>
  <w:style w:type="character" w:customStyle="1" w:styleId="TextedebullesCar">
    <w:name w:val="Texte de bulles Car"/>
    <w:basedOn w:val="Policepardfaut"/>
    <w:link w:val="Textedebulles"/>
    <w:uiPriority w:val="99"/>
    <w:semiHidden/>
    <w:rsid w:val="00C1569B"/>
    <w:rPr>
      <w:rFonts w:ascii="Tahoma" w:hAnsi="Tahoma" w:cs="Tahoma"/>
      <w:sz w:val="16"/>
      <w:szCs w:val="16"/>
      <w:lang w:eastAsia="fr-FR"/>
    </w:rPr>
  </w:style>
  <w:style w:type="paragraph" w:customStyle="1" w:styleId="ligne">
    <w:name w:val="ligne"/>
    <w:basedOn w:val="Normal"/>
    <w:rsid w:val="00C1569B"/>
    <w:pPr>
      <w:spacing w:before="100" w:beforeAutospacing="1" w:after="100" w:afterAutospacing="1"/>
    </w:pPr>
    <w:rPr>
      <w:rFonts w:eastAsia="Times New Roman"/>
    </w:rPr>
  </w:style>
  <w:style w:type="paragraph" w:customStyle="1" w:styleId="station">
    <w:name w:val="station"/>
    <w:basedOn w:val="Normal"/>
    <w:rsid w:val="00C1569B"/>
    <w:pPr>
      <w:spacing w:before="100" w:beforeAutospacing="1" w:after="100" w:afterAutospacing="1"/>
    </w:pPr>
    <w:rPr>
      <w:rFonts w:eastAsia="Times New Roman"/>
    </w:rPr>
  </w:style>
  <w:style w:type="character" w:customStyle="1" w:styleId="Titre2Car">
    <w:name w:val="Titre 2 Car"/>
    <w:basedOn w:val="Policepardfaut"/>
    <w:link w:val="Titre2"/>
    <w:uiPriority w:val="9"/>
    <w:semiHidden/>
    <w:rsid w:val="0071271D"/>
    <w:rPr>
      <w:rFonts w:asciiTheme="majorHAnsi" w:eastAsiaTheme="majorEastAsia" w:hAnsiTheme="majorHAnsi" w:cstheme="majorBidi"/>
      <w:b/>
      <w:bCs/>
      <w:color w:val="4F81BD" w:themeColor="accent1"/>
      <w:sz w:val="26"/>
      <w:szCs w:val="26"/>
      <w:lang w:eastAsia="fr-FR"/>
    </w:rPr>
  </w:style>
  <w:style w:type="character" w:customStyle="1" w:styleId="u-linkcomplex-target">
    <w:name w:val="u-linkcomplex-target"/>
    <w:basedOn w:val="Policepardfaut"/>
    <w:rsid w:val="0071271D"/>
  </w:style>
  <w:style w:type="paragraph" w:styleId="Paragraphedeliste">
    <w:name w:val="List Paragraph"/>
    <w:basedOn w:val="Normal"/>
    <w:uiPriority w:val="34"/>
    <w:qFormat/>
    <w:rsid w:val="00BF5D31"/>
    <w:pPr>
      <w:ind w:left="720"/>
      <w:contextualSpacing/>
    </w:pPr>
  </w:style>
  <w:style w:type="paragraph" w:styleId="En-tte">
    <w:name w:val="header"/>
    <w:basedOn w:val="Normal"/>
    <w:link w:val="En-tteCar"/>
    <w:uiPriority w:val="99"/>
    <w:unhideWhenUsed/>
    <w:rsid w:val="00BE7743"/>
    <w:pPr>
      <w:tabs>
        <w:tab w:val="center" w:pos="4536"/>
        <w:tab w:val="right" w:pos="9072"/>
      </w:tabs>
    </w:pPr>
  </w:style>
  <w:style w:type="character" w:customStyle="1" w:styleId="En-tteCar">
    <w:name w:val="En-tête Car"/>
    <w:basedOn w:val="Policepardfaut"/>
    <w:link w:val="En-tte"/>
    <w:uiPriority w:val="99"/>
    <w:rsid w:val="00BE7743"/>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BE7743"/>
    <w:pPr>
      <w:tabs>
        <w:tab w:val="center" w:pos="4536"/>
        <w:tab w:val="right" w:pos="9072"/>
      </w:tabs>
    </w:pPr>
  </w:style>
  <w:style w:type="character" w:customStyle="1" w:styleId="PieddepageCar">
    <w:name w:val="Pied de page Car"/>
    <w:basedOn w:val="Policepardfaut"/>
    <w:link w:val="Pieddepage"/>
    <w:uiPriority w:val="99"/>
    <w:rsid w:val="00BE7743"/>
    <w:rPr>
      <w:rFonts w:ascii="Times New Roman" w:hAnsi="Times New Roman" w:cs="Times New Roman"/>
      <w:sz w:val="24"/>
      <w:szCs w:val="24"/>
      <w:lang w:eastAsia="fr-FR"/>
    </w:rPr>
  </w:style>
  <w:style w:type="character" w:customStyle="1" w:styleId="rc">
    <w:name w:val="rc"/>
    <w:basedOn w:val="Policepardfaut"/>
    <w:rsid w:val="00EB1D4B"/>
  </w:style>
  <w:style w:type="character" w:customStyle="1" w:styleId="Titre4Car">
    <w:name w:val="Titre 4 Car"/>
    <w:basedOn w:val="Policepardfaut"/>
    <w:link w:val="Titre4"/>
    <w:uiPriority w:val="9"/>
    <w:rsid w:val="00EB1D4B"/>
    <w:rPr>
      <w:rFonts w:asciiTheme="majorHAnsi" w:eastAsiaTheme="majorEastAsia" w:hAnsiTheme="majorHAnsi" w:cstheme="majorBidi"/>
      <w:b/>
      <w:bCs/>
      <w:i/>
      <w:iCs/>
      <w:color w:val="4F81BD" w:themeColor="accent1"/>
      <w:sz w:val="24"/>
      <w:szCs w:val="24"/>
      <w:lang w:eastAsia="fr-FR"/>
    </w:rPr>
  </w:style>
  <w:style w:type="paragraph" w:styleId="NormalWeb">
    <w:name w:val="Normal (Web)"/>
    <w:basedOn w:val="Normal"/>
    <w:uiPriority w:val="99"/>
    <w:unhideWhenUsed/>
    <w:rsid w:val="00CE0431"/>
    <w:pPr>
      <w:spacing w:before="100" w:beforeAutospacing="1" w:after="100" w:afterAutospacing="1"/>
    </w:pPr>
    <w:rPr>
      <w:rFonts w:eastAsia="Times New Roman"/>
    </w:rPr>
  </w:style>
  <w:style w:type="character" w:customStyle="1" w:styleId="Titre3Car">
    <w:name w:val="Titre 3 Car"/>
    <w:basedOn w:val="Policepardfaut"/>
    <w:link w:val="Titre3"/>
    <w:uiPriority w:val="9"/>
    <w:semiHidden/>
    <w:rsid w:val="002E6BB2"/>
    <w:rPr>
      <w:rFonts w:asciiTheme="majorHAnsi" w:eastAsiaTheme="majorEastAsia" w:hAnsiTheme="majorHAnsi" w:cstheme="majorBidi"/>
      <w:b/>
      <w:bCs/>
      <w:color w:val="4F81BD" w:themeColor="accent1"/>
      <w:sz w:val="24"/>
      <w:szCs w:val="24"/>
      <w:lang w:eastAsia="fr-FR"/>
    </w:rPr>
  </w:style>
  <w:style w:type="character" w:styleId="Accentuation">
    <w:name w:val="Emphasis"/>
    <w:basedOn w:val="Policepardfaut"/>
    <w:uiPriority w:val="20"/>
    <w:qFormat/>
    <w:rsid w:val="008A4A05"/>
    <w:rPr>
      <w:i/>
      <w:iCs/>
    </w:rPr>
  </w:style>
  <w:style w:type="paragraph" w:customStyle="1" w:styleId="Default">
    <w:name w:val="Default"/>
    <w:uiPriority w:val="99"/>
    <w:rsid w:val="00635B97"/>
    <w:pPr>
      <w:autoSpaceDE w:val="0"/>
      <w:autoSpaceDN w:val="0"/>
      <w:adjustRightInd w:val="0"/>
      <w:spacing w:after="0" w:line="240" w:lineRule="auto"/>
    </w:pPr>
    <w:rPr>
      <w:rFonts w:ascii="Arial" w:hAnsi="Arial" w:cs="Arial"/>
      <w:color w:val="000000"/>
      <w:sz w:val="24"/>
      <w:szCs w:val="24"/>
    </w:rPr>
  </w:style>
  <w:style w:type="character" w:styleId="lev">
    <w:name w:val="Strong"/>
    <w:basedOn w:val="Policepardfaut"/>
    <w:uiPriority w:val="22"/>
    <w:qFormat/>
    <w:rsid w:val="00957894"/>
    <w:rPr>
      <w:b/>
      <w:bCs/>
    </w:rPr>
  </w:style>
  <w:style w:type="character" w:styleId="CitationHTML">
    <w:name w:val="HTML Cite"/>
    <w:basedOn w:val="Policepardfaut"/>
    <w:uiPriority w:val="99"/>
    <w:semiHidden/>
    <w:unhideWhenUsed/>
    <w:rsid w:val="00864759"/>
    <w:rPr>
      <w:i/>
      <w:iCs/>
    </w:rPr>
  </w:style>
  <w:style w:type="character" w:customStyle="1" w:styleId="Mentionnonrsolue1">
    <w:name w:val="Mention non résolue1"/>
    <w:basedOn w:val="Policepardfaut"/>
    <w:uiPriority w:val="99"/>
    <w:semiHidden/>
    <w:unhideWhenUsed/>
    <w:rsid w:val="00C668FB"/>
    <w:rPr>
      <w:color w:val="605E5C"/>
      <w:shd w:val="clear" w:color="auto" w:fill="E1DFDD"/>
    </w:rPr>
  </w:style>
  <w:style w:type="character" w:styleId="Accentuationlgre">
    <w:name w:val="Subtle Emphasis"/>
    <w:basedOn w:val="Policepardfaut"/>
    <w:uiPriority w:val="19"/>
    <w:qFormat/>
    <w:rsid w:val="003C3249"/>
    <w:rPr>
      <w:i/>
      <w:iCs/>
      <w:color w:val="404040" w:themeColor="text1" w:themeTint="BF"/>
    </w:rPr>
  </w:style>
  <w:style w:type="character" w:customStyle="1" w:styleId="Mentionnonrsolue2">
    <w:name w:val="Mention non résolue2"/>
    <w:basedOn w:val="Policepardfaut"/>
    <w:uiPriority w:val="99"/>
    <w:semiHidden/>
    <w:unhideWhenUsed/>
    <w:rsid w:val="001540DF"/>
    <w:rPr>
      <w:color w:val="605E5C"/>
      <w:shd w:val="clear" w:color="auto" w:fill="E1DFDD"/>
    </w:rPr>
  </w:style>
  <w:style w:type="paragraph" w:customStyle="1" w:styleId="BodyA">
    <w:name w:val="Body A"/>
    <w:rsid w:val="00470A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fr-FR"/>
    </w:rPr>
  </w:style>
  <w:style w:type="character" w:customStyle="1" w:styleId="NoneA">
    <w:name w:val="None A"/>
    <w:rsid w:val="00470A67"/>
    <w:rPr>
      <w:lang w:val="en-US"/>
    </w:rPr>
  </w:style>
  <w:style w:type="character" w:styleId="Marquedecommentaire">
    <w:name w:val="annotation reference"/>
    <w:basedOn w:val="Policepardfaut"/>
    <w:uiPriority w:val="99"/>
    <w:semiHidden/>
    <w:unhideWhenUsed/>
    <w:rsid w:val="00472045"/>
    <w:rPr>
      <w:sz w:val="16"/>
      <w:szCs w:val="16"/>
    </w:rPr>
  </w:style>
  <w:style w:type="paragraph" w:styleId="Commentaire">
    <w:name w:val="annotation text"/>
    <w:basedOn w:val="Normal"/>
    <w:link w:val="CommentaireCar"/>
    <w:uiPriority w:val="99"/>
    <w:semiHidden/>
    <w:unhideWhenUsed/>
    <w:rsid w:val="00472045"/>
    <w:rPr>
      <w:sz w:val="20"/>
      <w:szCs w:val="20"/>
    </w:rPr>
  </w:style>
  <w:style w:type="character" w:customStyle="1" w:styleId="CommentaireCar">
    <w:name w:val="Commentaire Car"/>
    <w:basedOn w:val="Policepardfaut"/>
    <w:link w:val="Commentaire"/>
    <w:uiPriority w:val="99"/>
    <w:semiHidden/>
    <w:rsid w:val="00472045"/>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2045"/>
    <w:rPr>
      <w:b/>
      <w:bCs/>
    </w:rPr>
  </w:style>
  <w:style w:type="character" w:customStyle="1" w:styleId="ObjetducommentaireCar">
    <w:name w:val="Objet du commentaire Car"/>
    <w:basedOn w:val="CommentaireCar"/>
    <w:link w:val="Objetducommentaire"/>
    <w:uiPriority w:val="99"/>
    <w:semiHidden/>
    <w:rsid w:val="00472045"/>
    <w:rPr>
      <w:rFonts w:ascii="Times New Roman" w:hAnsi="Times New Roman" w:cs="Times New Roman"/>
      <w:b/>
      <w:bCs/>
      <w:sz w:val="20"/>
      <w:szCs w:val="20"/>
      <w:lang w:eastAsia="fr-FR"/>
    </w:rPr>
  </w:style>
  <w:style w:type="paragraph" w:styleId="Notedebasdepage">
    <w:name w:val="footnote text"/>
    <w:basedOn w:val="Normal"/>
    <w:link w:val="NotedebasdepageCar"/>
    <w:uiPriority w:val="99"/>
    <w:semiHidden/>
    <w:unhideWhenUsed/>
    <w:rsid w:val="00C45C3E"/>
    <w:rPr>
      <w:sz w:val="20"/>
      <w:szCs w:val="20"/>
    </w:rPr>
  </w:style>
  <w:style w:type="character" w:customStyle="1" w:styleId="NotedebasdepageCar">
    <w:name w:val="Note de bas de page Car"/>
    <w:basedOn w:val="Policepardfaut"/>
    <w:link w:val="Notedebasdepage"/>
    <w:uiPriority w:val="99"/>
    <w:semiHidden/>
    <w:rsid w:val="00C45C3E"/>
    <w:rPr>
      <w:rFonts w:ascii="Times New Roman" w:hAnsi="Times New Roman" w:cs="Times New Roman"/>
      <w:sz w:val="20"/>
      <w:szCs w:val="20"/>
      <w:lang w:eastAsia="fr-FR"/>
    </w:rPr>
  </w:style>
  <w:style w:type="character" w:styleId="Appelnotedebasdep">
    <w:name w:val="footnote reference"/>
    <w:basedOn w:val="Policepardfaut"/>
    <w:uiPriority w:val="99"/>
    <w:semiHidden/>
    <w:unhideWhenUsed/>
    <w:rsid w:val="00C45C3E"/>
    <w:rPr>
      <w:vertAlign w:val="superscript"/>
    </w:rPr>
  </w:style>
  <w:style w:type="character" w:customStyle="1" w:styleId="Mentionnonrsolue3">
    <w:name w:val="Mention non résolue3"/>
    <w:basedOn w:val="Policepardfaut"/>
    <w:uiPriority w:val="99"/>
    <w:semiHidden/>
    <w:unhideWhenUsed/>
    <w:rsid w:val="00C415F6"/>
    <w:rPr>
      <w:color w:val="605E5C"/>
      <w:shd w:val="clear" w:color="auto" w:fill="E1DFDD"/>
    </w:rPr>
  </w:style>
  <w:style w:type="paragraph" w:styleId="Rvision">
    <w:name w:val="Revision"/>
    <w:hidden/>
    <w:uiPriority w:val="99"/>
    <w:semiHidden/>
    <w:rsid w:val="0061761A"/>
    <w:pPr>
      <w:spacing w:after="0" w:line="240" w:lineRule="auto"/>
    </w:pPr>
    <w:rPr>
      <w:rFonts w:ascii="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25562"/>
    <w:rPr>
      <w:color w:val="800080" w:themeColor="followedHyperlink"/>
      <w:u w:val="single"/>
    </w:rPr>
  </w:style>
  <w:style w:type="character" w:styleId="Mentionnonrsolue">
    <w:name w:val="Unresolved Mention"/>
    <w:basedOn w:val="Policepardfaut"/>
    <w:uiPriority w:val="99"/>
    <w:semiHidden/>
    <w:unhideWhenUsed/>
    <w:rsid w:val="00DD5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0812">
      <w:bodyDiv w:val="1"/>
      <w:marLeft w:val="0"/>
      <w:marRight w:val="0"/>
      <w:marTop w:val="0"/>
      <w:marBottom w:val="0"/>
      <w:divBdr>
        <w:top w:val="none" w:sz="0" w:space="0" w:color="auto"/>
        <w:left w:val="none" w:sz="0" w:space="0" w:color="auto"/>
        <w:bottom w:val="none" w:sz="0" w:space="0" w:color="auto"/>
        <w:right w:val="none" w:sz="0" w:space="0" w:color="auto"/>
      </w:divBdr>
      <w:divsChild>
        <w:div w:id="161312806">
          <w:marLeft w:val="0"/>
          <w:marRight w:val="0"/>
          <w:marTop w:val="0"/>
          <w:marBottom w:val="0"/>
          <w:divBdr>
            <w:top w:val="none" w:sz="0" w:space="0" w:color="auto"/>
            <w:left w:val="none" w:sz="0" w:space="0" w:color="auto"/>
            <w:bottom w:val="none" w:sz="0" w:space="0" w:color="auto"/>
            <w:right w:val="none" w:sz="0" w:space="0" w:color="auto"/>
          </w:divBdr>
          <w:divsChild>
            <w:div w:id="1243023914">
              <w:marLeft w:val="0"/>
              <w:marRight w:val="0"/>
              <w:marTop w:val="0"/>
              <w:marBottom w:val="0"/>
              <w:divBdr>
                <w:top w:val="none" w:sz="0" w:space="0" w:color="auto"/>
                <w:left w:val="none" w:sz="0" w:space="0" w:color="auto"/>
                <w:bottom w:val="none" w:sz="0" w:space="0" w:color="auto"/>
                <w:right w:val="none" w:sz="0" w:space="0" w:color="auto"/>
              </w:divBdr>
              <w:divsChild>
                <w:div w:id="579142958">
                  <w:marLeft w:val="0"/>
                  <w:marRight w:val="0"/>
                  <w:marTop w:val="0"/>
                  <w:marBottom w:val="0"/>
                  <w:divBdr>
                    <w:top w:val="none" w:sz="0" w:space="0" w:color="auto"/>
                    <w:left w:val="none" w:sz="0" w:space="0" w:color="auto"/>
                    <w:bottom w:val="none" w:sz="0" w:space="0" w:color="auto"/>
                    <w:right w:val="none" w:sz="0" w:space="0" w:color="auto"/>
                  </w:divBdr>
                  <w:divsChild>
                    <w:div w:id="15209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8660">
      <w:bodyDiv w:val="1"/>
      <w:marLeft w:val="0"/>
      <w:marRight w:val="0"/>
      <w:marTop w:val="0"/>
      <w:marBottom w:val="0"/>
      <w:divBdr>
        <w:top w:val="none" w:sz="0" w:space="0" w:color="auto"/>
        <w:left w:val="none" w:sz="0" w:space="0" w:color="auto"/>
        <w:bottom w:val="none" w:sz="0" w:space="0" w:color="auto"/>
        <w:right w:val="none" w:sz="0" w:space="0" w:color="auto"/>
      </w:divBdr>
      <w:divsChild>
        <w:div w:id="2108961238">
          <w:marLeft w:val="0"/>
          <w:marRight w:val="0"/>
          <w:marTop w:val="0"/>
          <w:marBottom w:val="0"/>
          <w:divBdr>
            <w:top w:val="none" w:sz="0" w:space="0" w:color="auto"/>
            <w:left w:val="none" w:sz="0" w:space="0" w:color="auto"/>
            <w:bottom w:val="none" w:sz="0" w:space="0" w:color="auto"/>
            <w:right w:val="none" w:sz="0" w:space="0" w:color="auto"/>
          </w:divBdr>
          <w:divsChild>
            <w:div w:id="1236938098">
              <w:marLeft w:val="0"/>
              <w:marRight w:val="0"/>
              <w:marTop w:val="0"/>
              <w:marBottom w:val="0"/>
              <w:divBdr>
                <w:top w:val="none" w:sz="0" w:space="0" w:color="auto"/>
                <w:left w:val="none" w:sz="0" w:space="0" w:color="auto"/>
                <w:bottom w:val="none" w:sz="0" w:space="0" w:color="auto"/>
                <w:right w:val="none" w:sz="0" w:space="0" w:color="auto"/>
              </w:divBdr>
              <w:divsChild>
                <w:div w:id="9662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9547">
      <w:bodyDiv w:val="1"/>
      <w:marLeft w:val="0"/>
      <w:marRight w:val="0"/>
      <w:marTop w:val="0"/>
      <w:marBottom w:val="0"/>
      <w:divBdr>
        <w:top w:val="none" w:sz="0" w:space="0" w:color="auto"/>
        <w:left w:val="none" w:sz="0" w:space="0" w:color="auto"/>
        <w:bottom w:val="none" w:sz="0" w:space="0" w:color="auto"/>
        <w:right w:val="none" w:sz="0" w:space="0" w:color="auto"/>
      </w:divBdr>
    </w:div>
    <w:div w:id="165557195">
      <w:bodyDiv w:val="1"/>
      <w:marLeft w:val="0"/>
      <w:marRight w:val="0"/>
      <w:marTop w:val="0"/>
      <w:marBottom w:val="0"/>
      <w:divBdr>
        <w:top w:val="none" w:sz="0" w:space="0" w:color="auto"/>
        <w:left w:val="none" w:sz="0" w:space="0" w:color="auto"/>
        <w:bottom w:val="none" w:sz="0" w:space="0" w:color="auto"/>
        <w:right w:val="none" w:sz="0" w:space="0" w:color="auto"/>
      </w:divBdr>
    </w:div>
    <w:div w:id="183128659">
      <w:bodyDiv w:val="1"/>
      <w:marLeft w:val="0"/>
      <w:marRight w:val="0"/>
      <w:marTop w:val="0"/>
      <w:marBottom w:val="0"/>
      <w:divBdr>
        <w:top w:val="none" w:sz="0" w:space="0" w:color="auto"/>
        <w:left w:val="none" w:sz="0" w:space="0" w:color="auto"/>
        <w:bottom w:val="none" w:sz="0" w:space="0" w:color="auto"/>
        <w:right w:val="none" w:sz="0" w:space="0" w:color="auto"/>
      </w:divBdr>
    </w:div>
    <w:div w:id="217128015">
      <w:bodyDiv w:val="1"/>
      <w:marLeft w:val="0"/>
      <w:marRight w:val="0"/>
      <w:marTop w:val="0"/>
      <w:marBottom w:val="0"/>
      <w:divBdr>
        <w:top w:val="none" w:sz="0" w:space="0" w:color="auto"/>
        <w:left w:val="none" w:sz="0" w:space="0" w:color="auto"/>
        <w:bottom w:val="none" w:sz="0" w:space="0" w:color="auto"/>
        <w:right w:val="none" w:sz="0" w:space="0" w:color="auto"/>
      </w:divBdr>
      <w:divsChild>
        <w:div w:id="868494449">
          <w:marLeft w:val="0"/>
          <w:marRight w:val="0"/>
          <w:marTop w:val="0"/>
          <w:marBottom w:val="0"/>
          <w:divBdr>
            <w:top w:val="none" w:sz="0" w:space="0" w:color="auto"/>
            <w:left w:val="none" w:sz="0" w:space="0" w:color="auto"/>
            <w:bottom w:val="none" w:sz="0" w:space="0" w:color="auto"/>
            <w:right w:val="none" w:sz="0" w:space="0" w:color="auto"/>
          </w:divBdr>
          <w:divsChild>
            <w:div w:id="1569613372">
              <w:marLeft w:val="0"/>
              <w:marRight w:val="0"/>
              <w:marTop w:val="0"/>
              <w:marBottom w:val="0"/>
              <w:divBdr>
                <w:top w:val="none" w:sz="0" w:space="0" w:color="auto"/>
                <w:left w:val="none" w:sz="0" w:space="0" w:color="auto"/>
                <w:bottom w:val="none" w:sz="0" w:space="0" w:color="auto"/>
                <w:right w:val="none" w:sz="0" w:space="0" w:color="auto"/>
              </w:divBdr>
              <w:divsChild>
                <w:div w:id="1051072803">
                  <w:marLeft w:val="0"/>
                  <w:marRight w:val="0"/>
                  <w:marTop w:val="0"/>
                  <w:marBottom w:val="0"/>
                  <w:divBdr>
                    <w:top w:val="none" w:sz="0" w:space="0" w:color="auto"/>
                    <w:left w:val="none" w:sz="0" w:space="0" w:color="auto"/>
                    <w:bottom w:val="none" w:sz="0" w:space="0" w:color="auto"/>
                    <w:right w:val="none" w:sz="0" w:space="0" w:color="auto"/>
                  </w:divBdr>
                  <w:divsChild>
                    <w:div w:id="14540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66439">
      <w:bodyDiv w:val="1"/>
      <w:marLeft w:val="0"/>
      <w:marRight w:val="0"/>
      <w:marTop w:val="0"/>
      <w:marBottom w:val="0"/>
      <w:divBdr>
        <w:top w:val="none" w:sz="0" w:space="0" w:color="auto"/>
        <w:left w:val="none" w:sz="0" w:space="0" w:color="auto"/>
        <w:bottom w:val="none" w:sz="0" w:space="0" w:color="auto"/>
        <w:right w:val="none" w:sz="0" w:space="0" w:color="auto"/>
      </w:divBdr>
    </w:div>
    <w:div w:id="320427602">
      <w:bodyDiv w:val="1"/>
      <w:marLeft w:val="0"/>
      <w:marRight w:val="0"/>
      <w:marTop w:val="0"/>
      <w:marBottom w:val="0"/>
      <w:divBdr>
        <w:top w:val="none" w:sz="0" w:space="0" w:color="auto"/>
        <w:left w:val="none" w:sz="0" w:space="0" w:color="auto"/>
        <w:bottom w:val="none" w:sz="0" w:space="0" w:color="auto"/>
        <w:right w:val="none" w:sz="0" w:space="0" w:color="auto"/>
      </w:divBdr>
      <w:divsChild>
        <w:div w:id="97218038">
          <w:marLeft w:val="0"/>
          <w:marRight w:val="0"/>
          <w:marTop w:val="0"/>
          <w:marBottom w:val="0"/>
          <w:divBdr>
            <w:top w:val="none" w:sz="0" w:space="0" w:color="auto"/>
            <w:left w:val="none" w:sz="0" w:space="0" w:color="auto"/>
            <w:bottom w:val="none" w:sz="0" w:space="0" w:color="auto"/>
            <w:right w:val="none" w:sz="0" w:space="0" w:color="auto"/>
          </w:divBdr>
          <w:divsChild>
            <w:div w:id="486868432">
              <w:marLeft w:val="0"/>
              <w:marRight w:val="0"/>
              <w:marTop w:val="0"/>
              <w:marBottom w:val="0"/>
              <w:divBdr>
                <w:top w:val="none" w:sz="0" w:space="0" w:color="auto"/>
                <w:left w:val="none" w:sz="0" w:space="0" w:color="auto"/>
                <w:bottom w:val="none" w:sz="0" w:space="0" w:color="auto"/>
                <w:right w:val="none" w:sz="0" w:space="0" w:color="auto"/>
              </w:divBdr>
              <w:divsChild>
                <w:div w:id="239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84171">
      <w:bodyDiv w:val="1"/>
      <w:marLeft w:val="0"/>
      <w:marRight w:val="0"/>
      <w:marTop w:val="0"/>
      <w:marBottom w:val="0"/>
      <w:divBdr>
        <w:top w:val="none" w:sz="0" w:space="0" w:color="auto"/>
        <w:left w:val="none" w:sz="0" w:space="0" w:color="auto"/>
        <w:bottom w:val="none" w:sz="0" w:space="0" w:color="auto"/>
        <w:right w:val="none" w:sz="0" w:space="0" w:color="auto"/>
      </w:divBdr>
    </w:div>
    <w:div w:id="462963105">
      <w:bodyDiv w:val="1"/>
      <w:marLeft w:val="0"/>
      <w:marRight w:val="0"/>
      <w:marTop w:val="0"/>
      <w:marBottom w:val="0"/>
      <w:divBdr>
        <w:top w:val="none" w:sz="0" w:space="0" w:color="auto"/>
        <w:left w:val="none" w:sz="0" w:space="0" w:color="auto"/>
        <w:bottom w:val="none" w:sz="0" w:space="0" w:color="auto"/>
        <w:right w:val="none" w:sz="0" w:space="0" w:color="auto"/>
      </w:divBdr>
    </w:div>
    <w:div w:id="478038016">
      <w:bodyDiv w:val="1"/>
      <w:marLeft w:val="0"/>
      <w:marRight w:val="0"/>
      <w:marTop w:val="0"/>
      <w:marBottom w:val="0"/>
      <w:divBdr>
        <w:top w:val="none" w:sz="0" w:space="0" w:color="auto"/>
        <w:left w:val="none" w:sz="0" w:space="0" w:color="auto"/>
        <w:bottom w:val="none" w:sz="0" w:space="0" w:color="auto"/>
        <w:right w:val="none" w:sz="0" w:space="0" w:color="auto"/>
      </w:divBdr>
    </w:div>
    <w:div w:id="621771932">
      <w:bodyDiv w:val="1"/>
      <w:marLeft w:val="0"/>
      <w:marRight w:val="0"/>
      <w:marTop w:val="0"/>
      <w:marBottom w:val="0"/>
      <w:divBdr>
        <w:top w:val="none" w:sz="0" w:space="0" w:color="auto"/>
        <w:left w:val="none" w:sz="0" w:space="0" w:color="auto"/>
        <w:bottom w:val="none" w:sz="0" w:space="0" w:color="auto"/>
        <w:right w:val="none" w:sz="0" w:space="0" w:color="auto"/>
      </w:divBdr>
      <w:divsChild>
        <w:div w:id="2127962869">
          <w:marLeft w:val="0"/>
          <w:marRight w:val="0"/>
          <w:marTop w:val="0"/>
          <w:marBottom w:val="0"/>
          <w:divBdr>
            <w:top w:val="none" w:sz="0" w:space="0" w:color="auto"/>
            <w:left w:val="none" w:sz="0" w:space="0" w:color="auto"/>
            <w:bottom w:val="none" w:sz="0" w:space="0" w:color="auto"/>
            <w:right w:val="none" w:sz="0" w:space="0" w:color="auto"/>
          </w:divBdr>
          <w:divsChild>
            <w:div w:id="1462769619">
              <w:marLeft w:val="0"/>
              <w:marRight w:val="0"/>
              <w:marTop w:val="0"/>
              <w:marBottom w:val="0"/>
              <w:divBdr>
                <w:top w:val="none" w:sz="0" w:space="0" w:color="auto"/>
                <w:left w:val="none" w:sz="0" w:space="0" w:color="auto"/>
                <w:bottom w:val="none" w:sz="0" w:space="0" w:color="auto"/>
                <w:right w:val="none" w:sz="0" w:space="0" w:color="auto"/>
              </w:divBdr>
              <w:divsChild>
                <w:div w:id="19537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72937">
      <w:bodyDiv w:val="1"/>
      <w:marLeft w:val="0"/>
      <w:marRight w:val="0"/>
      <w:marTop w:val="0"/>
      <w:marBottom w:val="0"/>
      <w:divBdr>
        <w:top w:val="none" w:sz="0" w:space="0" w:color="auto"/>
        <w:left w:val="none" w:sz="0" w:space="0" w:color="auto"/>
        <w:bottom w:val="none" w:sz="0" w:space="0" w:color="auto"/>
        <w:right w:val="none" w:sz="0" w:space="0" w:color="auto"/>
      </w:divBdr>
    </w:div>
    <w:div w:id="768551443">
      <w:bodyDiv w:val="1"/>
      <w:marLeft w:val="0"/>
      <w:marRight w:val="0"/>
      <w:marTop w:val="0"/>
      <w:marBottom w:val="0"/>
      <w:divBdr>
        <w:top w:val="none" w:sz="0" w:space="0" w:color="auto"/>
        <w:left w:val="none" w:sz="0" w:space="0" w:color="auto"/>
        <w:bottom w:val="none" w:sz="0" w:space="0" w:color="auto"/>
        <w:right w:val="none" w:sz="0" w:space="0" w:color="auto"/>
      </w:divBdr>
      <w:divsChild>
        <w:div w:id="1040477413">
          <w:marLeft w:val="0"/>
          <w:marRight w:val="0"/>
          <w:marTop w:val="0"/>
          <w:marBottom w:val="0"/>
          <w:divBdr>
            <w:top w:val="none" w:sz="0" w:space="0" w:color="auto"/>
            <w:left w:val="none" w:sz="0" w:space="0" w:color="auto"/>
            <w:bottom w:val="none" w:sz="0" w:space="0" w:color="auto"/>
            <w:right w:val="none" w:sz="0" w:space="0" w:color="auto"/>
          </w:divBdr>
          <w:divsChild>
            <w:div w:id="315841777">
              <w:marLeft w:val="0"/>
              <w:marRight w:val="0"/>
              <w:marTop w:val="0"/>
              <w:marBottom w:val="0"/>
              <w:divBdr>
                <w:top w:val="none" w:sz="0" w:space="0" w:color="auto"/>
                <w:left w:val="none" w:sz="0" w:space="0" w:color="auto"/>
                <w:bottom w:val="none" w:sz="0" w:space="0" w:color="auto"/>
                <w:right w:val="none" w:sz="0" w:space="0" w:color="auto"/>
              </w:divBdr>
              <w:divsChild>
                <w:div w:id="15807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23046">
      <w:bodyDiv w:val="1"/>
      <w:marLeft w:val="0"/>
      <w:marRight w:val="0"/>
      <w:marTop w:val="0"/>
      <w:marBottom w:val="0"/>
      <w:divBdr>
        <w:top w:val="none" w:sz="0" w:space="0" w:color="auto"/>
        <w:left w:val="none" w:sz="0" w:space="0" w:color="auto"/>
        <w:bottom w:val="none" w:sz="0" w:space="0" w:color="auto"/>
        <w:right w:val="none" w:sz="0" w:space="0" w:color="auto"/>
      </w:divBdr>
      <w:divsChild>
        <w:div w:id="277680911">
          <w:marLeft w:val="0"/>
          <w:marRight w:val="0"/>
          <w:marTop w:val="0"/>
          <w:marBottom w:val="0"/>
          <w:divBdr>
            <w:top w:val="none" w:sz="0" w:space="0" w:color="auto"/>
            <w:left w:val="none" w:sz="0" w:space="0" w:color="auto"/>
            <w:bottom w:val="none" w:sz="0" w:space="0" w:color="auto"/>
            <w:right w:val="none" w:sz="0" w:space="0" w:color="auto"/>
          </w:divBdr>
          <w:divsChild>
            <w:div w:id="918908656">
              <w:marLeft w:val="0"/>
              <w:marRight w:val="0"/>
              <w:marTop w:val="0"/>
              <w:marBottom w:val="0"/>
              <w:divBdr>
                <w:top w:val="none" w:sz="0" w:space="0" w:color="auto"/>
                <w:left w:val="none" w:sz="0" w:space="0" w:color="auto"/>
                <w:bottom w:val="none" w:sz="0" w:space="0" w:color="auto"/>
                <w:right w:val="none" w:sz="0" w:space="0" w:color="auto"/>
              </w:divBdr>
              <w:divsChild>
                <w:div w:id="13206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82294">
      <w:bodyDiv w:val="1"/>
      <w:marLeft w:val="0"/>
      <w:marRight w:val="0"/>
      <w:marTop w:val="0"/>
      <w:marBottom w:val="0"/>
      <w:divBdr>
        <w:top w:val="none" w:sz="0" w:space="0" w:color="auto"/>
        <w:left w:val="none" w:sz="0" w:space="0" w:color="auto"/>
        <w:bottom w:val="none" w:sz="0" w:space="0" w:color="auto"/>
        <w:right w:val="none" w:sz="0" w:space="0" w:color="auto"/>
      </w:divBdr>
    </w:div>
    <w:div w:id="817304494">
      <w:bodyDiv w:val="1"/>
      <w:marLeft w:val="0"/>
      <w:marRight w:val="0"/>
      <w:marTop w:val="0"/>
      <w:marBottom w:val="0"/>
      <w:divBdr>
        <w:top w:val="none" w:sz="0" w:space="0" w:color="auto"/>
        <w:left w:val="none" w:sz="0" w:space="0" w:color="auto"/>
        <w:bottom w:val="none" w:sz="0" w:space="0" w:color="auto"/>
        <w:right w:val="none" w:sz="0" w:space="0" w:color="auto"/>
      </w:divBdr>
      <w:divsChild>
        <w:div w:id="742459410">
          <w:marLeft w:val="0"/>
          <w:marRight w:val="0"/>
          <w:marTop w:val="0"/>
          <w:marBottom w:val="0"/>
          <w:divBdr>
            <w:top w:val="none" w:sz="0" w:space="0" w:color="auto"/>
            <w:left w:val="none" w:sz="0" w:space="0" w:color="auto"/>
            <w:bottom w:val="none" w:sz="0" w:space="0" w:color="auto"/>
            <w:right w:val="none" w:sz="0" w:space="0" w:color="auto"/>
          </w:divBdr>
          <w:divsChild>
            <w:div w:id="1441413909">
              <w:marLeft w:val="0"/>
              <w:marRight w:val="0"/>
              <w:marTop w:val="0"/>
              <w:marBottom w:val="0"/>
              <w:divBdr>
                <w:top w:val="none" w:sz="0" w:space="0" w:color="auto"/>
                <w:left w:val="none" w:sz="0" w:space="0" w:color="auto"/>
                <w:bottom w:val="none" w:sz="0" w:space="0" w:color="auto"/>
                <w:right w:val="none" w:sz="0" w:space="0" w:color="auto"/>
              </w:divBdr>
              <w:divsChild>
                <w:div w:id="1166478789">
                  <w:marLeft w:val="0"/>
                  <w:marRight w:val="0"/>
                  <w:marTop w:val="0"/>
                  <w:marBottom w:val="0"/>
                  <w:divBdr>
                    <w:top w:val="none" w:sz="0" w:space="0" w:color="auto"/>
                    <w:left w:val="none" w:sz="0" w:space="0" w:color="auto"/>
                    <w:bottom w:val="none" w:sz="0" w:space="0" w:color="auto"/>
                    <w:right w:val="none" w:sz="0" w:space="0" w:color="auto"/>
                  </w:divBdr>
                  <w:divsChild>
                    <w:div w:id="17535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242301">
      <w:bodyDiv w:val="1"/>
      <w:marLeft w:val="0"/>
      <w:marRight w:val="0"/>
      <w:marTop w:val="0"/>
      <w:marBottom w:val="0"/>
      <w:divBdr>
        <w:top w:val="none" w:sz="0" w:space="0" w:color="auto"/>
        <w:left w:val="none" w:sz="0" w:space="0" w:color="auto"/>
        <w:bottom w:val="none" w:sz="0" w:space="0" w:color="auto"/>
        <w:right w:val="none" w:sz="0" w:space="0" w:color="auto"/>
      </w:divBdr>
    </w:div>
    <w:div w:id="1209143477">
      <w:bodyDiv w:val="1"/>
      <w:marLeft w:val="0"/>
      <w:marRight w:val="0"/>
      <w:marTop w:val="0"/>
      <w:marBottom w:val="0"/>
      <w:divBdr>
        <w:top w:val="none" w:sz="0" w:space="0" w:color="auto"/>
        <w:left w:val="none" w:sz="0" w:space="0" w:color="auto"/>
        <w:bottom w:val="none" w:sz="0" w:space="0" w:color="auto"/>
        <w:right w:val="none" w:sz="0" w:space="0" w:color="auto"/>
      </w:divBdr>
    </w:div>
    <w:div w:id="1292789479">
      <w:bodyDiv w:val="1"/>
      <w:marLeft w:val="0"/>
      <w:marRight w:val="0"/>
      <w:marTop w:val="0"/>
      <w:marBottom w:val="0"/>
      <w:divBdr>
        <w:top w:val="none" w:sz="0" w:space="0" w:color="auto"/>
        <w:left w:val="none" w:sz="0" w:space="0" w:color="auto"/>
        <w:bottom w:val="none" w:sz="0" w:space="0" w:color="auto"/>
        <w:right w:val="none" w:sz="0" w:space="0" w:color="auto"/>
      </w:divBdr>
      <w:divsChild>
        <w:div w:id="274944628">
          <w:marLeft w:val="0"/>
          <w:marRight w:val="0"/>
          <w:marTop w:val="0"/>
          <w:marBottom w:val="0"/>
          <w:divBdr>
            <w:top w:val="none" w:sz="0" w:space="0" w:color="auto"/>
            <w:left w:val="none" w:sz="0" w:space="0" w:color="auto"/>
            <w:bottom w:val="none" w:sz="0" w:space="0" w:color="auto"/>
            <w:right w:val="none" w:sz="0" w:space="0" w:color="auto"/>
          </w:divBdr>
          <w:divsChild>
            <w:div w:id="127092668">
              <w:marLeft w:val="0"/>
              <w:marRight w:val="0"/>
              <w:marTop w:val="0"/>
              <w:marBottom w:val="0"/>
              <w:divBdr>
                <w:top w:val="none" w:sz="0" w:space="0" w:color="auto"/>
                <w:left w:val="none" w:sz="0" w:space="0" w:color="auto"/>
                <w:bottom w:val="none" w:sz="0" w:space="0" w:color="auto"/>
                <w:right w:val="none" w:sz="0" w:space="0" w:color="auto"/>
              </w:divBdr>
              <w:divsChild>
                <w:div w:id="1127310246">
                  <w:marLeft w:val="0"/>
                  <w:marRight w:val="0"/>
                  <w:marTop w:val="0"/>
                  <w:marBottom w:val="0"/>
                  <w:divBdr>
                    <w:top w:val="none" w:sz="0" w:space="0" w:color="auto"/>
                    <w:left w:val="none" w:sz="0" w:space="0" w:color="auto"/>
                    <w:bottom w:val="none" w:sz="0" w:space="0" w:color="auto"/>
                    <w:right w:val="none" w:sz="0" w:space="0" w:color="auto"/>
                  </w:divBdr>
                  <w:divsChild>
                    <w:div w:id="10156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989308">
      <w:bodyDiv w:val="1"/>
      <w:marLeft w:val="0"/>
      <w:marRight w:val="0"/>
      <w:marTop w:val="0"/>
      <w:marBottom w:val="0"/>
      <w:divBdr>
        <w:top w:val="none" w:sz="0" w:space="0" w:color="auto"/>
        <w:left w:val="none" w:sz="0" w:space="0" w:color="auto"/>
        <w:bottom w:val="none" w:sz="0" w:space="0" w:color="auto"/>
        <w:right w:val="none" w:sz="0" w:space="0" w:color="auto"/>
      </w:divBdr>
      <w:divsChild>
        <w:div w:id="177232978">
          <w:marLeft w:val="0"/>
          <w:marRight w:val="0"/>
          <w:marTop w:val="0"/>
          <w:marBottom w:val="0"/>
          <w:divBdr>
            <w:top w:val="none" w:sz="0" w:space="0" w:color="auto"/>
            <w:left w:val="none" w:sz="0" w:space="0" w:color="auto"/>
            <w:bottom w:val="none" w:sz="0" w:space="0" w:color="auto"/>
            <w:right w:val="none" w:sz="0" w:space="0" w:color="auto"/>
          </w:divBdr>
          <w:divsChild>
            <w:div w:id="907810107">
              <w:marLeft w:val="0"/>
              <w:marRight w:val="0"/>
              <w:marTop w:val="0"/>
              <w:marBottom w:val="0"/>
              <w:divBdr>
                <w:top w:val="none" w:sz="0" w:space="0" w:color="auto"/>
                <w:left w:val="none" w:sz="0" w:space="0" w:color="auto"/>
                <w:bottom w:val="none" w:sz="0" w:space="0" w:color="auto"/>
                <w:right w:val="none" w:sz="0" w:space="0" w:color="auto"/>
              </w:divBdr>
              <w:divsChild>
                <w:div w:id="21227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2261">
      <w:bodyDiv w:val="1"/>
      <w:marLeft w:val="0"/>
      <w:marRight w:val="0"/>
      <w:marTop w:val="0"/>
      <w:marBottom w:val="0"/>
      <w:divBdr>
        <w:top w:val="none" w:sz="0" w:space="0" w:color="auto"/>
        <w:left w:val="none" w:sz="0" w:space="0" w:color="auto"/>
        <w:bottom w:val="none" w:sz="0" w:space="0" w:color="auto"/>
        <w:right w:val="none" w:sz="0" w:space="0" w:color="auto"/>
      </w:divBdr>
    </w:div>
    <w:div w:id="1434082861">
      <w:bodyDiv w:val="1"/>
      <w:marLeft w:val="0"/>
      <w:marRight w:val="0"/>
      <w:marTop w:val="0"/>
      <w:marBottom w:val="0"/>
      <w:divBdr>
        <w:top w:val="none" w:sz="0" w:space="0" w:color="auto"/>
        <w:left w:val="none" w:sz="0" w:space="0" w:color="auto"/>
        <w:bottom w:val="none" w:sz="0" w:space="0" w:color="auto"/>
        <w:right w:val="none" w:sz="0" w:space="0" w:color="auto"/>
      </w:divBdr>
      <w:divsChild>
        <w:div w:id="1060246825">
          <w:marLeft w:val="0"/>
          <w:marRight w:val="0"/>
          <w:marTop w:val="0"/>
          <w:marBottom w:val="0"/>
          <w:divBdr>
            <w:top w:val="none" w:sz="0" w:space="0" w:color="auto"/>
            <w:left w:val="none" w:sz="0" w:space="0" w:color="auto"/>
            <w:bottom w:val="none" w:sz="0" w:space="0" w:color="auto"/>
            <w:right w:val="none" w:sz="0" w:space="0" w:color="auto"/>
          </w:divBdr>
          <w:divsChild>
            <w:div w:id="1036781677">
              <w:marLeft w:val="0"/>
              <w:marRight w:val="0"/>
              <w:marTop w:val="0"/>
              <w:marBottom w:val="0"/>
              <w:divBdr>
                <w:top w:val="none" w:sz="0" w:space="0" w:color="auto"/>
                <w:left w:val="none" w:sz="0" w:space="0" w:color="auto"/>
                <w:bottom w:val="none" w:sz="0" w:space="0" w:color="auto"/>
                <w:right w:val="none" w:sz="0" w:space="0" w:color="auto"/>
              </w:divBdr>
              <w:divsChild>
                <w:div w:id="2813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25758">
      <w:bodyDiv w:val="1"/>
      <w:marLeft w:val="0"/>
      <w:marRight w:val="0"/>
      <w:marTop w:val="0"/>
      <w:marBottom w:val="0"/>
      <w:divBdr>
        <w:top w:val="none" w:sz="0" w:space="0" w:color="auto"/>
        <w:left w:val="none" w:sz="0" w:space="0" w:color="auto"/>
        <w:bottom w:val="none" w:sz="0" w:space="0" w:color="auto"/>
        <w:right w:val="none" w:sz="0" w:space="0" w:color="auto"/>
      </w:divBdr>
      <w:divsChild>
        <w:div w:id="1657807573">
          <w:marLeft w:val="0"/>
          <w:marRight w:val="0"/>
          <w:marTop w:val="0"/>
          <w:marBottom w:val="0"/>
          <w:divBdr>
            <w:top w:val="none" w:sz="0" w:space="0" w:color="auto"/>
            <w:left w:val="none" w:sz="0" w:space="0" w:color="auto"/>
            <w:bottom w:val="none" w:sz="0" w:space="0" w:color="auto"/>
            <w:right w:val="none" w:sz="0" w:space="0" w:color="auto"/>
          </w:divBdr>
          <w:divsChild>
            <w:div w:id="1247575612">
              <w:marLeft w:val="0"/>
              <w:marRight w:val="0"/>
              <w:marTop w:val="0"/>
              <w:marBottom w:val="0"/>
              <w:divBdr>
                <w:top w:val="none" w:sz="0" w:space="0" w:color="auto"/>
                <w:left w:val="none" w:sz="0" w:space="0" w:color="auto"/>
                <w:bottom w:val="none" w:sz="0" w:space="0" w:color="auto"/>
                <w:right w:val="none" w:sz="0" w:space="0" w:color="auto"/>
              </w:divBdr>
              <w:divsChild>
                <w:div w:id="1453481932">
                  <w:marLeft w:val="0"/>
                  <w:marRight w:val="0"/>
                  <w:marTop w:val="0"/>
                  <w:marBottom w:val="0"/>
                  <w:divBdr>
                    <w:top w:val="none" w:sz="0" w:space="0" w:color="auto"/>
                    <w:left w:val="none" w:sz="0" w:space="0" w:color="auto"/>
                    <w:bottom w:val="none" w:sz="0" w:space="0" w:color="auto"/>
                    <w:right w:val="none" w:sz="0" w:space="0" w:color="auto"/>
                  </w:divBdr>
                  <w:divsChild>
                    <w:div w:id="245191628">
                      <w:marLeft w:val="0"/>
                      <w:marRight w:val="0"/>
                      <w:marTop w:val="0"/>
                      <w:marBottom w:val="0"/>
                      <w:divBdr>
                        <w:top w:val="none" w:sz="0" w:space="0" w:color="auto"/>
                        <w:left w:val="none" w:sz="0" w:space="0" w:color="auto"/>
                        <w:bottom w:val="none" w:sz="0" w:space="0" w:color="auto"/>
                        <w:right w:val="none" w:sz="0" w:space="0" w:color="auto"/>
                      </w:divBdr>
                    </w:div>
                    <w:div w:id="19976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92599">
      <w:bodyDiv w:val="1"/>
      <w:marLeft w:val="0"/>
      <w:marRight w:val="0"/>
      <w:marTop w:val="0"/>
      <w:marBottom w:val="0"/>
      <w:divBdr>
        <w:top w:val="none" w:sz="0" w:space="0" w:color="auto"/>
        <w:left w:val="none" w:sz="0" w:space="0" w:color="auto"/>
        <w:bottom w:val="none" w:sz="0" w:space="0" w:color="auto"/>
        <w:right w:val="none" w:sz="0" w:space="0" w:color="auto"/>
      </w:divBdr>
      <w:divsChild>
        <w:div w:id="1402679762">
          <w:marLeft w:val="0"/>
          <w:marRight w:val="0"/>
          <w:marTop w:val="0"/>
          <w:marBottom w:val="0"/>
          <w:divBdr>
            <w:top w:val="none" w:sz="0" w:space="0" w:color="auto"/>
            <w:left w:val="none" w:sz="0" w:space="0" w:color="auto"/>
            <w:bottom w:val="none" w:sz="0" w:space="0" w:color="auto"/>
            <w:right w:val="none" w:sz="0" w:space="0" w:color="auto"/>
          </w:divBdr>
          <w:divsChild>
            <w:div w:id="1234007284">
              <w:marLeft w:val="0"/>
              <w:marRight w:val="0"/>
              <w:marTop w:val="0"/>
              <w:marBottom w:val="0"/>
              <w:divBdr>
                <w:top w:val="none" w:sz="0" w:space="0" w:color="auto"/>
                <w:left w:val="none" w:sz="0" w:space="0" w:color="auto"/>
                <w:bottom w:val="none" w:sz="0" w:space="0" w:color="auto"/>
                <w:right w:val="none" w:sz="0" w:space="0" w:color="auto"/>
              </w:divBdr>
              <w:divsChild>
                <w:div w:id="3355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39886">
      <w:bodyDiv w:val="1"/>
      <w:marLeft w:val="0"/>
      <w:marRight w:val="0"/>
      <w:marTop w:val="0"/>
      <w:marBottom w:val="0"/>
      <w:divBdr>
        <w:top w:val="none" w:sz="0" w:space="0" w:color="auto"/>
        <w:left w:val="none" w:sz="0" w:space="0" w:color="auto"/>
        <w:bottom w:val="none" w:sz="0" w:space="0" w:color="auto"/>
        <w:right w:val="none" w:sz="0" w:space="0" w:color="auto"/>
      </w:divBdr>
    </w:div>
    <w:div w:id="1548375912">
      <w:bodyDiv w:val="1"/>
      <w:marLeft w:val="0"/>
      <w:marRight w:val="0"/>
      <w:marTop w:val="0"/>
      <w:marBottom w:val="0"/>
      <w:divBdr>
        <w:top w:val="none" w:sz="0" w:space="0" w:color="auto"/>
        <w:left w:val="none" w:sz="0" w:space="0" w:color="auto"/>
        <w:bottom w:val="none" w:sz="0" w:space="0" w:color="auto"/>
        <w:right w:val="none" w:sz="0" w:space="0" w:color="auto"/>
      </w:divBdr>
    </w:div>
    <w:div w:id="1660647541">
      <w:bodyDiv w:val="1"/>
      <w:marLeft w:val="0"/>
      <w:marRight w:val="0"/>
      <w:marTop w:val="0"/>
      <w:marBottom w:val="0"/>
      <w:divBdr>
        <w:top w:val="none" w:sz="0" w:space="0" w:color="auto"/>
        <w:left w:val="none" w:sz="0" w:space="0" w:color="auto"/>
        <w:bottom w:val="none" w:sz="0" w:space="0" w:color="auto"/>
        <w:right w:val="none" w:sz="0" w:space="0" w:color="auto"/>
      </w:divBdr>
    </w:div>
    <w:div w:id="1732800537">
      <w:bodyDiv w:val="1"/>
      <w:marLeft w:val="0"/>
      <w:marRight w:val="0"/>
      <w:marTop w:val="0"/>
      <w:marBottom w:val="0"/>
      <w:divBdr>
        <w:top w:val="none" w:sz="0" w:space="0" w:color="auto"/>
        <w:left w:val="none" w:sz="0" w:space="0" w:color="auto"/>
        <w:bottom w:val="none" w:sz="0" w:space="0" w:color="auto"/>
        <w:right w:val="none" w:sz="0" w:space="0" w:color="auto"/>
      </w:divBdr>
    </w:div>
    <w:div w:id="1737819588">
      <w:bodyDiv w:val="1"/>
      <w:marLeft w:val="0"/>
      <w:marRight w:val="0"/>
      <w:marTop w:val="0"/>
      <w:marBottom w:val="0"/>
      <w:divBdr>
        <w:top w:val="none" w:sz="0" w:space="0" w:color="auto"/>
        <w:left w:val="none" w:sz="0" w:space="0" w:color="auto"/>
        <w:bottom w:val="none" w:sz="0" w:space="0" w:color="auto"/>
        <w:right w:val="none" w:sz="0" w:space="0" w:color="auto"/>
      </w:divBdr>
      <w:divsChild>
        <w:div w:id="1822305292">
          <w:marLeft w:val="0"/>
          <w:marRight w:val="0"/>
          <w:marTop w:val="0"/>
          <w:marBottom w:val="0"/>
          <w:divBdr>
            <w:top w:val="none" w:sz="0" w:space="0" w:color="auto"/>
            <w:left w:val="none" w:sz="0" w:space="0" w:color="auto"/>
            <w:bottom w:val="none" w:sz="0" w:space="0" w:color="auto"/>
            <w:right w:val="none" w:sz="0" w:space="0" w:color="auto"/>
          </w:divBdr>
          <w:divsChild>
            <w:div w:id="96491586">
              <w:marLeft w:val="0"/>
              <w:marRight w:val="0"/>
              <w:marTop w:val="0"/>
              <w:marBottom w:val="0"/>
              <w:divBdr>
                <w:top w:val="none" w:sz="0" w:space="0" w:color="auto"/>
                <w:left w:val="none" w:sz="0" w:space="0" w:color="auto"/>
                <w:bottom w:val="none" w:sz="0" w:space="0" w:color="auto"/>
                <w:right w:val="none" w:sz="0" w:space="0" w:color="auto"/>
              </w:divBdr>
              <w:divsChild>
                <w:div w:id="459886047">
                  <w:marLeft w:val="0"/>
                  <w:marRight w:val="0"/>
                  <w:marTop w:val="0"/>
                  <w:marBottom w:val="0"/>
                  <w:divBdr>
                    <w:top w:val="none" w:sz="0" w:space="0" w:color="auto"/>
                    <w:left w:val="none" w:sz="0" w:space="0" w:color="auto"/>
                    <w:bottom w:val="none" w:sz="0" w:space="0" w:color="auto"/>
                    <w:right w:val="none" w:sz="0" w:space="0" w:color="auto"/>
                  </w:divBdr>
                  <w:divsChild>
                    <w:div w:id="194126654">
                      <w:marLeft w:val="0"/>
                      <w:marRight w:val="0"/>
                      <w:marTop w:val="0"/>
                      <w:marBottom w:val="0"/>
                      <w:divBdr>
                        <w:top w:val="none" w:sz="0" w:space="0" w:color="auto"/>
                        <w:left w:val="none" w:sz="0" w:space="0" w:color="auto"/>
                        <w:bottom w:val="none" w:sz="0" w:space="0" w:color="auto"/>
                        <w:right w:val="none" w:sz="0" w:space="0" w:color="auto"/>
                      </w:divBdr>
                    </w:div>
                    <w:div w:id="12230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762036">
      <w:bodyDiv w:val="1"/>
      <w:marLeft w:val="0"/>
      <w:marRight w:val="0"/>
      <w:marTop w:val="0"/>
      <w:marBottom w:val="0"/>
      <w:divBdr>
        <w:top w:val="none" w:sz="0" w:space="0" w:color="auto"/>
        <w:left w:val="none" w:sz="0" w:space="0" w:color="auto"/>
        <w:bottom w:val="none" w:sz="0" w:space="0" w:color="auto"/>
        <w:right w:val="none" w:sz="0" w:space="0" w:color="auto"/>
      </w:divBdr>
      <w:divsChild>
        <w:div w:id="1691880925">
          <w:marLeft w:val="0"/>
          <w:marRight w:val="0"/>
          <w:marTop w:val="0"/>
          <w:marBottom w:val="0"/>
          <w:divBdr>
            <w:top w:val="none" w:sz="0" w:space="0" w:color="auto"/>
            <w:left w:val="none" w:sz="0" w:space="0" w:color="auto"/>
            <w:bottom w:val="none" w:sz="0" w:space="0" w:color="auto"/>
            <w:right w:val="none" w:sz="0" w:space="0" w:color="auto"/>
          </w:divBdr>
          <w:divsChild>
            <w:div w:id="1348750070">
              <w:marLeft w:val="0"/>
              <w:marRight w:val="0"/>
              <w:marTop w:val="0"/>
              <w:marBottom w:val="0"/>
              <w:divBdr>
                <w:top w:val="none" w:sz="0" w:space="0" w:color="auto"/>
                <w:left w:val="none" w:sz="0" w:space="0" w:color="auto"/>
                <w:bottom w:val="none" w:sz="0" w:space="0" w:color="auto"/>
                <w:right w:val="none" w:sz="0" w:space="0" w:color="auto"/>
              </w:divBdr>
              <w:divsChild>
                <w:div w:id="2075200124">
                  <w:marLeft w:val="0"/>
                  <w:marRight w:val="0"/>
                  <w:marTop w:val="0"/>
                  <w:marBottom w:val="0"/>
                  <w:divBdr>
                    <w:top w:val="none" w:sz="0" w:space="0" w:color="auto"/>
                    <w:left w:val="none" w:sz="0" w:space="0" w:color="auto"/>
                    <w:bottom w:val="none" w:sz="0" w:space="0" w:color="auto"/>
                    <w:right w:val="none" w:sz="0" w:space="0" w:color="auto"/>
                  </w:divBdr>
                  <w:divsChild>
                    <w:div w:id="4479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81247">
      <w:bodyDiv w:val="1"/>
      <w:marLeft w:val="0"/>
      <w:marRight w:val="0"/>
      <w:marTop w:val="0"/>
      <w:marBottom w:val="0"/>
      <w:divBdr>
        <w:top w:val="none" w:sz="0" w:space="0" w:color="auto"/>
        <w:left w:val="none" w:sz="0" w:space="0" w:color="auto"/>
        <w:bottom w:val="none" w:sz="0" w:space="0" w:color="auto"/>
        <w:right w:val="none" w:sz="0" w:space="0" w:color="auto"/>
      </w:divBdr>
      <w:divsChild>
        <w:div w:id="1646663911">
          <w:marLeft w:val="0"/>
          <w:marRight w:val="0"/>
          <w:marTop w:val="0"/>
          <w:marBottom w:val="0"/>
          <w:divBdr>
            <w:top w:val="none" w:sz="0" w:space="0" w:color="auto"/>
            <w:left w:val="none" w:sz="0" w:space="0" w:color="auto"/>
            <w:bottom w:val="none" w:sz="0" w:space="0" w:color="auto"/>
            <w:right w:val="none" w:sz="0" w:space="0" w:color="auto"/>
          </w:divBdr>
          <w:divsChild>
            <w:div w:id="2054455174">
              <w:marLeft w:val="0"/>
              <w:marRight w:val="0"/>
              <w:marTop w:val="0"/>
              <w:marBottom w:val="0"/>
              <w:divBdr>
                <w:top w:val="none" w:sz="0" w:space="0" w:color="auto"/>
                <w:left w:val="none" w:sz="0" w:space="0" w:color="auto"/>
                <w:bottom w:val="none" w:sz="0" w:space="0" w:color="auto"/>
                <w:right w:val="none" w:sz="0" w:space="0" w:color="auto"/>
              </w:divBdr>
              <w:divsChild>
                <w:div w:id="188883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87808">
      <w:bodyDiv w:val="1"/>
      <w:marLeft w:val="0"/>
      <w:marRight w:val="0"/>
      <w:marTop w:val="0"/>
      <w:marBottom w:val="0"/>
      <w:divBdr>
        <w:top w:val="none" w:sz="0" w:space="0" w:color="auto"/>
        <w:left w:val="none" w:sz="0" w:space="0" w:color="auto"/>
        <w:bottom w:val="none" w:sz="0" w:space="0" w:color="auto"/>
        <w:right w:val="none" w:sz="0" w:space="0" w:color="auto"/>
      </w:divBdr>
      <w:divsChild>
        <w:div w:id="1322155423">
          <w:marLeft w:val="0"/>
          <w:marRight w:val="0"/>
          <w:marTop w:val="0"/>
          <w:marBottom w:val="0"/>
          <w:divBdr>
            <w:top w:val="none" w:sz="0" w:space="0" w:color="auto"/>
            <w:left w:val="none" w:sz="0" w:space="0" w:color="auto"/>
            <w:bottom w:val="none" w:sz="0" w:space="0" w:color="auto"/>
            <w:right w:val="none" w:sz="0" w:space="0" w:color="auto"/>
          </w:divBdr>
          <w:divsChild>
            <w:div w:id="131101469">
              <w:marLeft w:val="0"/>
              <w:marRight w:val="0"/>
              <w:marTop w:val="0"/>
              <w:marBottom w:val="0"/>
              <w:divBdr>
                <w:top w:val="none" w:sz="0" w:space="0" w:color="auto"/>
                <w:left w:val="none" w:sz="0" w:space="0" w:color="auto"/>
                <w:bottom w:val="none" w:sz="0" w:space="0" w:color="auto"/>
                <w:right w:val="none" w:sz="0" w:space="0" w:color="auto"/>
              </w:divBdr>
              <w:divsChild>
                <w:div w:id="18756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42208">
      <w:bodyDiv w:val="1"/>
      <w:marLeft w:val="0"/>
      <w:marRight w:val="0"/>
      <w:marTop w:val="0"/>
      <w:marBottom w:val="0"/>
      <w:divBdr>
        <w:top w:val="none" w:sz="0" w:space="0" w:color="auto"/>
        <w:left w:val="none" w:sz="0" w:space="0" w:color="auto"/>
        <w:bottom w:val="none" w:sz="0" w:space="0" w:color="auto"/>
        <w:right w:val="none" w:sz="0" w:space="0" w:color="auto"/>
      </w:divBdr>
      <w:divsChild>
        <w:div w:id="2104564327">
          <w:marLeft w:val="0"/>
          <w:marRight w:val="0"/>
          <w:marTop w:val="0"/>
          <w:marBottom w:val="0"/>
          <w:divBdr>
            <w:top w:val="none" w:sz="0" w:space="0" w:color="auto"/>
            <w:left w:val="none" w:sz="0" w:space="0" w:color="auto"/>
            <w:bottom w:val="none" w:sz="0" w:space="0" w:color="auto"/>
            <w:right w:val="none" w:sz="0" w:space="0" w:color="auto"/>
          </w:divBdr>
          <w:divsChild>
            <w:div w:id="1674139757">
              <w:marLeft w:val="0"/>
              <w:marRight w:val="0"/>
              <w:marTop w:val="0"/>
              <w:marBottom w:val="0"/>
              <w:divBdr>
                <w:top w:val="none" w:sz="0" w:space="0" w:color="auto"/>
                <w:left w:val="none" w:sz="0" w:space="0" w:color="auto"/>
                <w:bottom w:val="none" w:sz="0" w:space="0" w:color="auto"/>
                <w:right w:val="none" w:sz="0" w:space="0" w:color="auto"/>
              </w:divBdr>
              <w:divsChild>
                <w:div w:id="10255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64146">
      <w:bodyDiv w:val="1"/>
      <w:marLeft w:val="0"/>
      <w:marRight w:val="0"/>
      <w:marTop w:val="0"/>
      <w:marBottom w:val="0"/>
      <w:divBdr>
        <w:top w:val="none" w:sz="0" w:space="0" w:color="auto"/>
        <w:left w:val="none" w:sz="0" w:space="0" w:color="auto"/>
        <w:bottom w:val="none" w:sz="0" w:space="0" w:color="auto"/>
        <w:right w:val="none" w:sz="0" w:space="0" w:color="auto"/>
      </w:divBdr>
      <w:divsChild>
        <w:div w:id="908922077">
          <w:marLeft w:val="0"/>
          <w:marRight w:val="0"/>
          <w:marTop w:val="0"/>
          <w:marBottom w:val="0"/>
          <w:divBdr>
            <w:top w:val="none" w:sz="0" w:space="0" w:color="auto"/>
            <w:left w:val="none" w:sz="0" w:space="0" w:color="auto"/>
            <w:bottom w:val="none" w:sz="0" w:space="0" w:color="auto"/>
            <w:right w:val="none" w:sz="0" w:space="0" w:color="auto"/>
          </w:divBdr>
          <w:divsChild>
            <w:div w:id="24185087">
              <w:marLeft w:val="0"/>
              <w:marRight w:val="0"/>
              <w:marTop w:val="0"/>
              <w:marBottom w:val="0"/>
              <w:divBdr>
                <w:top w:val="none" w:sz="0" w:space="0" w:color="auto"/>
                <w:left w:val="none" w:sz="0" w:space="0" w:color="auto"/>
                <w:bottom w:val="none" w:sz="0" w:space="0" w:color="auto"/>
                <w:right w:val="none" w:sz="0" w:space="0" w:color="auto"/>
              </w:divBdr>
              <w:divsChild>
                <w:div w:id="4600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1268">
      <w:bodyDiv w:val="1"/>
      <w:marLeft w:val="0"/>
      <w:marRight w:val="0"/>
      <w:marTop w:val="0"/>
      <w:marBottom w:val="0"/>
      <w:divBdr>
        <w:top w:val="none" w:sz="0" w:space="0" w:color="auto"/>
        <w:left w:val="none" w:sz="0" w:space="0" w:color="auto"/>
        <w:bottom w:val="none" w:sz="0" w:space="0" w:color="auto"/>
        <w:right w:val="none" w:sz="0" w:space="0" w:color="auto"/>
      </w:divBdr>
    </w:div>
    <w:div w:id="2025552772">
      <w:bodyDiv w:val="1"/>
      <w:marLeft w:val="0"/>
      <w:marRight w:val="0"/>
      <w:marTop w:val="0"/>
      <w:marBottom w:val="0"/>
      <w:divBdr>
        <w:top w:val="none" w:sz="0" w:space="0" w:color="auto"/>
        <w:left w:val="none" w:sz="0" w:space="0" w:color="auto"/>
        <w:bottom w:val="none" w:sz="0" w:space="0" w:color="auto"/>
        <w:right w:val="none" w:sz="0" w:space="0" w:color="auto"/>
      </w:divBdr>
    </w:div>
    <w:div w:id="2057655386">
      <w:bodyDiv w:val="1"/>
      <w:marLeft w:val="0"/>
      <w:marRight w:val="0"/>
      <w:marTop w:val="0"/>
      <w:marBottom w:val="0"/>
      <w:divBdr>
        <w:top w:val="none" w:sz="0" w:space="0" w:color="auto"/>
        <w:left w:val="none" w:sz="0" w:space="0" w:color="auto"/>
        <w:bottom w:val="none" w:sz="0" w:space="0" w:color="auto"/>
        <w:right w:val="none" w:sz="0" w:space="0" w:color="auto"/>
      </w:divBdr>
      <w:divsChild>
        <w:div w:id="1899708770">
          <w:marLeft w:val="0"/>
          <w:marRight w:val="0"/>
          <w:marTop w:val="0"/>
          <w:marBottom w:val="0"/>
          <w:divBdr>
            <w:top w:val="none" w:sz="0" w:space="0" w:color="auto"/>
            <w:left w:val="none" w:sz="0" w:space="0" w:color="auto"/>
            <w:bottom w:val="none" w:sz="0" w:space="0" w:color="auto"/>
            <w:right w:val="none" w:sz="0" w:space="0" w:color="auto"/>
          </w:divBdr>
          <w:divsChild>
            <w:div w:id="2005664274">
              <w:marLeft w:val="0"/>
              <w:marRight w:val="0"/>
              <w:marTop w:val="0"/>
              <w:marBottom w:val="0"/>
              <w:divBdr>
                <w:top w:val="none" w:sz="0" w:space="0" w:color="auto"/>
                <w:left w:val="none" w:sz="0" w:space="0" w:color="auto"/>
                <w:bottom w:val="none" w:sz="0" w:space="0" w:color="auto"/>
                <w:right w:val="none" w:sz="0" w:space="0" w:color="auto"/>
              </w:divBdr>
              <w:divsChild>
                <w:div w:id="16769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zars.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urore.angeli@mazars.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e@rumeurpublique.fr" TargetMode="External"/><Relationship Id="rId5" Type="http://schemas.openxmlformats.org/officeDocument/2006/relationships/webSettings" Target="webSettings.xml"/><Relationship Id="rId15" Type="http://schemas.openxmlformats.org/officeDocument/2006/relationships/hyperlink" Target="https://twitter.com/mazarsfrance" TargetMode="External"/><Relationship Id="rId10" Type="http://schemas.openxmlformats.org/officeDocument/2006/relationships/hyperlink" Target="https://www.dropbox.com/s/9h4ohrn810tritu/Etude%20Mazars_Majors%20europ%C3%A9ens%20du%20BTP%20-%20Un%20march%C3%A9%20sous%20pression.pdf?dl=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inkedin.com/company/maza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1583C-497D-4A23-BD0D-AF45B9A4D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7777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Adecco</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Mourocq</dc:creator>
  <cp:keywords/>
  <dc:description/>
  <cp:lastModifiedBy>Marie Goislard</cp:lastModifiedBy>
  <cp:revision>6</cp:revision>
  <cp:lastPrinted>2019-11-06T10:06:00Z</cp:lastPrinted>
  <dcterms:created xsi:type="dcterms:W3CDTF">2019-11-06T11:06:00Z</dcterms:created>
  <dcterms:modified xsi:type="dcterms:W3CDTF">2019-11-19T08:49:00Z</dcterms:modified>
</cp:coreProperties>
</file>