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91" w:rsidRPr="0087517F" w:rsidRDefault="00992A7A">
      <w:pPr>
        <w:rPr>
          <w:rFonts w:ascii="Arial" w:hAnsi="Arial" w:cs="Arial"/>
        </w:rPr>
      </w:pPr>
      <w:r w:rsidRPr="0087517F">
        <w:rPr>
          <w:rFonts w:ascii="Arial" w:eastAsia="Times New Roman" w:hAnsi="Arial" w:cs="Arial"/>
          <w:noProof/>
          <w:lang w:eastAsia="fr-FR"/>
        </w:rPr>
        <w:drawing>
          <wp:inline distT="0" distB="0" distL="0" distR="0" wp14:anchorId="7B43C517" wp14:editId="71ED0EF2">
            <wp:extent cx="2375941" cy="371622"/>
            <wp:effectExtent l="0" t="0" r="0" b="0"/>
            <wp:docPr id="2" name="Picture 2" descr="RÃ©sultat de recherche d'images pour &quot;mazar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mazars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593" cy="392839"/>
                    </a:xfrm>
                    <a:prstGeom prst="rect">
                      <a:avLst/>
                    </a:prstGeom>
                    <a:noFill/>
                    <a:ln>
                      <a:noFill/>
                    </a:ln>
                  </pic:spPr>
                </pic:pic>
              </a:graphicData>
            </a:graphic>
          </wp:inline>
        </w:drawing>
      </w:r>
    </w:p>
    <w:p w:rsidR="00C275C0" w:rsidRPr="0087517F" w:rsidRDefault="00C275C0" w:rsidP="00C275C0">
      <w:pPr>
        <w:pStyle w:val="Titre1"/>
        <w:rPr>
          <w:rFonts w:eastAsia="Times New Roman"/>
          <w:b/>
          <w:bCs/>
          <w:sz w:val="20"/>
          <w:szCs w:val="20"/>
        </w:rPr>
      </w:pPr>
      <w:r w:rsidRPr="0087517F">
        <w:rPr>
          <w:rFonts w:eastAsia="Times New Roman"/>
          <w:b/>
          <w:bCs/>
          <w:sz w:val="20"/>
          <w:szCs w:val="20"/>
        </w:rPr>
        <w:t>Communiqué de presse</w:t>
      </w:r>
    </w:p>
    <w:p w:rsidR="00A847CF" w:rsidRPr="0087517F" w:rsidRDefault="00C275C0" w:rsidP="00C275C0">
      <w:pPr>
        <w:rPr>
          <w:rFonts w:ascii="Arial" w:hAnsi="Arial" w:cs="Arial"/>
        </w:rPr>
      </w:pPr>
      <w:r w:rsidRPr="0087517F">
        <w:rPr>
          <w:rFonts w:ascii="Arial" w:hAnsi="Arial" w:cs="Arial"/>
          <w:sz w:val="20"/>
          <w:szCs w:val="20"/>
        </w:rPr>
        <w:t xml:space="preserve">Paris, le </w:t>
      </w:r>
      <w:r w:rsidR="008777C1">
        <w:rPr>
          <w:rFonts w:ascii="Arial" w:hAnsi="Arial" w:cs="Arial"/>
          <w:sz w:val="20"/>
          <w:szCs w:val="20"/>
        </w:rPr>
        <w:t>10</w:t>
      </w:r>
      <w:r w:rsidR="00CA1E65" w:rsidRPr="0087517F">
        <w:rPr>
          <w:rFonts w:ascii="Arial" w:hAnsi="Arial" w:cs="Arial"/>
          <w:sz w:val="20"/>
          <w:szCs w:val="20"/>
        </w:rPr>
        <w:t xml:space="preserve"> avril</w:t>
      </w:r>
      <w:r w:rsidRPr="0087517F">
        <w:rPr>
          <w:rFonts w:ascii="Arial" w:hAnsi="Arial" w:cs="Arial"/>
          <w:sz w:val="20"/>
          <w:szCs w:val="20"/>
        </w:rPr>
        <w:t xml:space="preserve"> 201</w:t>
      </w:r>
      <w:r w:rsidR="00834132" w:rsidRPr="0087517F">
        <w:rPr>
          <w:rFonts w:ascii="Arial" w:hAnsi="Arial" w:cs="Arial"/>
          <w:sz w:val="20"/>
          <w:szCs w:val="20"/>
        </w:rPr>
        <w:t>9</w:t>
      </w:r>
      <w:r w:rsidRPr="0087517F">
        <w:rPr>
          <w:rFonts w:ascii="Arial" w:hAnsi="Arial" w:cs="Arial"/>
          <w:sz w:val="20"/>
          <w:szCs w:val="20"/>
        </w:rPr>
        <w:t xml:space="preserve"> </w:t>
      </w:r>
    </w:p>
    <w:p w:rsidR="00A847CF" w:rsidRPr="0087517F" w:rsidRDefault="00A847CF" w:rsidP="00443A1E">
      <w:pPr>
        <w:jc w:val="center"/>
        <w:rPr>
          <w:rFonts w:ascii="Arial" w:hAnsi="Arial" w:cs="Arial"/>
          <w:b/>
          <w:sz w:val="28"/>
          <w:szCs w:val="28"/>
        </w:rPr>
      </w:pPr>
    </w:p>
    <w:p w:rsidR="00DC44E0" w:rsidRDefault="0087517F" w:rsidP="00B778D0">
      <w:pPr>
        <w:jc w:val="both"/>
        <w:rPr>
          <w:rFonts w:ascii="Arial" w:hAnsi="Arial" w:cs="Arial"/>
          <w:b/>
          <w:sz w:val="28"/>
          <w:szCs w:val="28"/>
        </w:rPr>
      </w:pPr>
      <w:r>
        <w:rPr>
          <w:rFonts w:ascii="Arial" w:hAnsi="Arial" w:cs="Arial"/>
          <w:b/>
          <w:sz w:val="28"/>
          <w:szCs w:val="28"/>
        </w:rPr>
        <w:t>Collectivités et entreprises : la marche vers la</w:t>
      </w:r>
      <w:r w:rsidR="00764BDF" w:rsidRPr="0087517F">
        <w:rPr>
          <w:rFonts w:ascii="Arial" w:hAnsi="Arial" w:cs="Arial"/>
          <w:b/>
          <w:sz w:val="28"/>
          <w:szCs w:val="28"/>
        </w:rPr>
        <w:t xml:space="preserve"> transition énergétique</w:t>
      </w:r>
      <w:r w:rsidRPr="0087517F">
        <w:rPr>
          <w:rFonts w:ascii="Arial" w:hAnsi="Arial" w:cs="Arial"/>
          <w:b/>
          <w:sz w:val="28"/>
          <w:szCs w:val="28"/>
        </w:rPr>
        <w:t xml:space="preserve"> </w:t>
      </w:r>
      <w:r>
        <w:rPr>
          <w:rFonts w:ascii="Arial" w:hAnsi="Arial" w:cs="Arial"/>
          <w:b/>
          <w:sz w:val="28"/>
          <w:szCs w:val="28"/>
        </w:rPr>
        <w:t xml:space="preserve">se fait </w:t>
      </w:r>
      <w:r w:rsidRPr="0087517F">
        <w:rPr>
          <w:rFonts w:ascii="Arial" w:hAnsi="Arial" w:cs="Arial"/>
          <w:b/>
          <w:sz w:val="28"/>
          <w:szCs w:val="28"/>
        </w:rPr>
        <w:t xml:space="preserve">à deux vitesses </w:t>
      </w:r>
    </w:p>
    <w:p w:rsidR="0087517F" w:rsidRPr="0087517F" w:rsidRDefault="0087517F" w:rsidP="00B778D0">
      <w:pPr>
        <w:jc w:val="both"/>
        <w:rPr>
          <w:rFonts w:ascii="Arial" w:hAnsi="Arial" w:cs="Arial"/>
          <w:b/>
          <w:sz w:val="28"/>
          <w:szCs w:val="28"/>
        </w:rPr>
      </w:pPr>
      <w:r w:rsidRPr="0087517F">
        <w:rPr>
          <w:rFonts w:ascii="Arial" w:hAnsi="Arial" w:cs="Arial"/>
          <w:b/>
          <w:sz w:val="24"/>
          <w:szCs w:val="24"/>
        </w:rPr>
        <w:t>Etude Mazars</w:t>
      </w:r>
      <w:r w:rsidRPr="0087517F">
        <w:rPr>
          <w:rFonts w:ascii="Arial" w:hAnsi="Arial" w:cs="Arial"/>
          <w:b/>
          <w:sz w:val="28"/>
          <w:szCs w:val="28"/>
        </w:rPr>
        <w:t xml:space="preserve"> </w:t>
      </w:r>
      <w:r w:rsidRPr="0087517F">
        <w:rPr>
          <w:rFonts w:ascii="Arial" w:hAnsi="Arial" w:cs="Arial"/>
          <w:b/>
          <w:sz w:val="24"/>
          <w:szCs w:val="24"/>
        </w:rPr>
        <w:t>« Financer la transition énergétique : entre volontarisme et réalité économique »</w:t>
      </w:r>
    </w:p>
    <w:p w:rsidR="00B2775E" w:rsidRDefault="0087517F" w:rsidP="00B778D0">
      <w:pPr>
        <w:jc w:val="both"/>
        <w:rPr>
          <w:rFonts w:ascii="Arial" w:hAnsi="Arial" w:cs="Arial"/>
          <w:b/>
          <w:sz w:val="20"/>
          <w:szCs w:val="20"/>
        </w:rPr>
      </w:pPr>
      <w:r w:rsidRPr="0087517F">
        <w:rPr>
          <w:rFonts w:ascii="Arial" w:hAnsi="Arial" w:cs="Arial"/>
          <w:b/>
          <w:bCs/>
          <w:sz w:val="20"/>
          <w:szCs w:val="20"/>
        </w:rPr>
        <w:t>A l’heure de la mise en place de la Programmation pluriannuelle de l’énergie (PPE)</w:t>
      </w:r>
      <w:r w:rsidR="000B7CE0">
        <w:rPr>
          <w:rFonts w:ascii="Arial" w:hAnsi="Arial" w:cs="Arial"/>
          <w:b/>
          <w:bCs/>
          <w:sz w:val="20"/>
          <w:szCs w:val="20"/>
        </w:rPr>
        <w:t xml:space="preserve"> et des premières conclusions du Grand Débat,</w:t>
      </w:r>
      <w:r w:rsidRPr="0087517F">
        <w:rPr>
          <w:rFonts w:ascii="Arial" w:hAnsi="Arial" w:cs="Arial"/>
          <w:b/>
          <w:sz w:val="20"/>
          <w:szCs w:val="20"/>
        </w:rPr>
        <w:t xml:space="preserve"> Mazars, acteur international d’audit et conseil,</w:t>
      </w:r>
      <w:r w:rsidR="00AC196B" w:rsidRPr="0087517F">
        <w:rPr>
          <w:rFonts w:ascii="Arial" w:hAnsi="Arial" w:cs="Arial"/>
          <w:b/>
          <w:sz w:val="20"/>
          <w:szCs w:val="20"/>
        </w:rPr>
        <w:t xml:space="preserve"> </w:t>
      </w:r>
      <w:r w:rsidR="006F1B1C" w:rsidRPr="0087517F">
        <w:rPr>
          <w:rFonts w:ascii="Arial" w:hAnsi="Arial" w:cs="Arial"/>
          <w:b/>
          <w:sz w:val="20"/>
          <w:szCs w:val="20"/>
        </w:rPr>
        <w:t xml:space="preserve">publie </w:t>
      </w:r>
      <w:r w:rsidRPr="0087517F">
        <w:rPr>
          <w:rFonts w:ascii="Arial" w:hAnsi="Arial" w:cs="Arial"/>
          <w:b/>
          <w:sz w:val="20"/>
          <w:szCs w:val="20"/>
        </w:rPr>
        <w:t>une enquête</w:t>
      </w:r>
      <w:r>
        <w:rPr>
          <w:rFonts w:ascii="Arial" w:hAnsi="Arial" w:cs="Arial"/>
          <w:b/>
          <w:sz w:val="20"/>
          <w:szCs w:val="20"/>
        </w:rPr>
        <w:t xml:space="preserve"> dédiée à la perception, aux initiatives et aux financements réalisés par les collectivités, les entreprises et les investisseurs en matière de transition énergétique. </w:t>
      </w:r>
      <w:r w:rsidR="000B7CE0">
        <w:rPr>
          <w:rFonts w:ascii="Arial" w:hAnsi="Arial" w:cs="Arial"/>
          <w:b/>
          <w:sz w:val="20"/>
          <w:szCs w:val="20"/>
        </w:rPr>
        <w:br/>
      </w:r>
      <w:r>
        <w:rPr>
          <w:rFonts w:ascii="Arial" w:hAnsi="Arial" w:cs="Arial"/>
          <w:b/>
          <w:sz w:val="20"/>
          <w:szCs w:val="20"/>
        </w:rPr>
        <w:t xml:space="preserve">Ce regard croisé </w:t>
      </w:r>
      <w:r w:rsidR="00DC79B3">
        <w:rPr>
          <w:rFonts w:ascii="Arial" w:hAnsi="Arial" w:cs="Arial"/>
          <w:b/>
          <w:sz w:val="20"/>
          <w:szCs w:val="20"/>
        </w:rPr>
        <w:t>met en avant</w:t>
      </w:r>
      <w:r w:rsidR="000A6DFF" w:rsidRPr="0087517F">
        <w:rPr>
          <w:rFonts w:ascii="Arial" w:hAnsi="Arial" w:cs="Arial"/>
          <w:b/>
          <w:sz w:val="20"/>
          <w:szCs w:val="20"/>
        </w:rPr>
        <w:t xml:space="preserve"> </w:t>
      </w:r>
      <w:r w:rsidR="000B7CE0">
        <w:rPr>
          <w:rFonts w:ascii="Arial" w:hAnsi="Arial" w:cs="Arial"/>
          <w:b/>
          <w:sz w:val="20"/>
          <w:szCs w:val="20"/>
        </w:rPr>
        <w:t xml:space="preserve">un </w:t>
      </w:r>
      <w:r w:rsidR="000C3D5B" w:rsidRPr="0087517F">
        <w:rPr>
          <w:rFonts w:ascii="Arial" w:hAnsi="Arial" w:cs="Arial"/>
          <w:b/>
          <w:sz w:val="20"/>
          <w:szCs w:val="20"/>
        </w:rPr>
        <w:t xml:space="preserve">concept </w:t>
      </w:r>
      <w:r w:rsidR="00DC79B3">
        <w:rPr>
          <w:rFonts w:ascii="Arial" w:hAnsi="Arial" w:cs="Arial"/>
          <w:b/>
          <w:sz w:val="20"/>
          <w:szCs w:val="20"/>
        </w:rPr>
        <w:t xml:space="preserve">qui reste encore flou et une maturité très disparate en fonction des acteurs. La marche vers la transition énergétique semble ainsi se faire à deux vitesses </w:t>
      </w:r>
      <w:r w:rsidR="006900B8">
        <w:rPr>
          <w:rFonts w:ascii="Arial" w:hAnsi="Arial" w:cs="Arial"/>
          <w:b/>
          <w:sz w:val="20"/>
          <w:szCs w:val="20"/>
        </w:rPr>
        <w:t xml:space="preserve">dans les </w:t>
      </w:r>
      <w:r w:rsidR="00B778D0">
        <w:rPr>
          <w:rFonts w:ascii="Arial" w:hAnsi="Arial" w:cs="Arial"/>
          <w:b/>
          <w:sz w:val="20"/>
          <w:szCs w:val="20"/>
        </w:rPr>
        <w:t>organisations</w:t>
      </w:r>
      <w:r w:rsidR="006900B8">
        <w:rPr>
          <w:rFonts w:ascii="Arial" w:hAnsi="Arial" w:cs="Arial"/>
          <w:b/>
          <w:sz w:val="20"/>
          <w:szCs w:val="20"/>
        </w:rPr>
        <w:t xml:space="preserve">, </w:t>
      </w:r>
      <w:r w:rsidR="00DC79B3">
        <w:rPr>
          <w:rFonts w:ascii="Arial" w:hAnsi="Arial" w:cs="Arial"/>
          <w:b/>
          <w:sz w:val="20"/>
          <w:szCs w:val="20"/>
        </w:rPr>
        <w:t>avec des collectivités qui jouent un rôle moteur</w:t>
      </w:r>
      <w:r w:rsidR="000A6DFF" w:rsidRPr="0087517F">
        <w:rPr>
          <w:rFonts w:ascii="Arial" w:hAnsi="Arial" w:cs="Arial"/>
          <w:b/>
          <w:sz w:val="20"/>
          <w:szCs w:val="20"/>
        </w:rPr>
        <w:t xml:space="preserve">. </w:t>
      </w:r>
      <w:r w:rsidR="00DC79B3">
        <w:rPr>
          <w:rFonts w:ascii="Arial" w:hAnsi="Arial" w:cs="Arial"/>
          <w:b/>
          <w:sz w:val="20"/>
          <w:szCs w:val="20"/>
        </w:rPr>
        <w:t xml:space="preserve">En </w:t>
      </w:r>
      <w:r w:rsidR="000A6DFF" w:rsidRPr="0087517F">
        <w:rPr>
          <w:rFonts w:ascii="Arial" w:hAnsi="Arial" w:cs="Arial"/>
          <w:b/>
          <w:sz w:val="20"/>
          <w:szCs w:val="20"/>
        </w:rPr>
        <w:t xml:space="preserve">outre l’étude pointe </w:t>
      </w:r>
      <w:r w:rsidR="006F1B1C" w:rsidRPr="0087517F">
        <w:rPr>
          <w:rFonts w:ascii="Arial" w:hAnsi="Arial" w:cs="Arial"/>
          <w:b/>
          <w:sz w:val="20"/>
          <w:szCs w:val="20"/>
        </w:rPr>
        <w:t>la faible rentabilité des investissements verts comparée à celle des actifs carbonés. Des pistes d’amélioration existent néanmoins</w:t>
      </w:r>
      <w:r w:rsidR="000A6DFF" w:rsidRPr="0087517F">
        <w:rPr>
          <w:rFonts w:ascii="Arial" w:hAnsi="Arial" w:cs="Arial"/>
          <w:b/>
          <w:sz w:val="20"/>
          <w:szCs w:val="20"/>
        </w:rPr>
        <w:t xml:space="preserve"> pour développer et généraliser des initiatives solides.</w:t>
      </w:r>
    </w:p>
    <w:p w:rsidR="007144DB" w:rsidRPr="006900B8" w:rsidRDefault="008577DE" w:rsidP="00B778D0">
      <w:pPr>
        <w:pStyle w:val="Paragraphedeliste"/>
        <w:numPr>
          <w:ilvl w:val="0"/>
          <w:numId w:val="11"/>
        </w:numPr>
        <w:rPr>
          <w:b/>
        </w:rPr>
      </w:pPr>
      <w:r w:rsidRPr="008577DE">
        <w:rPr>
          <w:b/>
        </w:rPr>
        <w:t>Même si les acceptions diffèren</w:t>
      </w:r>
      <w:r w:rsidR="00B778D0">
        <w:rPr>
          <w:b/>
        </w:rPr>
        <w:softHyphen/>
      </w:r>
      <w:r w:rsidR="00B778D0">
        <w:rPr>
          <w:b/>
        </w:rPr>
        <w:softHyphen/>
      </w:r>
      <w:r w:rsidRPr="008577DE">
        <w:rPr>
          <w:b/>
        </w:rPr>
        <w:t xml:space="preserve">t en fonction des acteurs concernés, la transition énergétique est une priorité pour 86% des collectivités territoriales </w:t>
      </w:r>
      <w:r w:rsidR="006900B8">
        <w:rPr>
          <w:b/>
        </w:rPr>
        <w:t xml:space="preserve">et </w:t>
      </w:r>
      <w:r w:rsidRPr="006900B8">
        <w:rPr>
          <w:b/>
        </w:rPr>
        <w:t xml:space="preserve">57 % des entreprises </w:t>
      </w:r>
      <w:r w:rsidR="002609B6" w:rsidRPr="006900B8">
        <w:rPr>
          <w:b/>
        </w:rPr>
        <w:t>interrogées.</w:t>
      </w:r>
      <w:r w:rsidR="006900B8" w:rsidRPr="006900B8">
        <w:rPr>
          <w:b/>
        </w:rPr>
        <w:t xml:space="preserve"> </w:t>
      </w:r>
    </w:p>
    <w:p w:rsidR="006900B8" w:rsidRDefault="00B33B40" w:rsidP="00B778D0">
      <w:pPr>
        <w:pStyle w:val="Paragraphedeliste"/>
        <w:numPr>
          <w:ilvl w:val="0"/>
          <w:numId w:val="11"/>
        </w:numPr>
        <w:rPr>
          <w:b/>
        </w:rPr>
      </w:pPr>
      <w:r>
        <w:rPr>
          <w:b/>
        </w:rPr>
        <w:t xml:space="preserve">Disparités entre grandes et petites entreprises : </w:t>
      </w:r>
      <w:r w:rsidR="006900B8">
        <w:rPr>
          <w:b/>
        </w:rPr>
        <w:t xml:space="preserve">71% des entreprises de plus de 50 salariés font de la transition énergétique une priorité vs. 47% des entreprises de moins de 50 salariés. </w:t>
      </w:r>
    </w:p>
    <w:p w:rsidR="007144DB" w:rsidRDefault="006900B8" w:rsidP="00B778D0">
      <w:pPr>
        <w:pStyle w:val="Paragraphedeliste"/>
        <w:numPr>
          <w:ilvl w:val="0"/>
          <w:numId w:val="11"/>
        </w:numPr>
        <w:rPr>
          <w:b/>
        </w:rPr>
      </w:pPr>
      <w:r>
        <w:rPr>
          <w:b/>
        </w:rPr>
        <w:t>Les entreprises</w:t>
      </w:r>
      <w:r w:rsidR="007144DB">
        <w:rPr>
          <w:b/>
        </w:rPr>
        <w:t xml:space="preserve"> </w:t>
      </w:r>
      <w:r>
        <w:rPr>
          <w:b/>
        </w:rPr>
        <w:t>manque</w:t>
      </w:r>
      <w:r w:rsidR="008777C1">
        <w:rPr>
          <w:b/>
        </w:rPr>
        <w:t>nt</w:t>
      </w:r>
      <w:r>
        <w:rPr>
          <w:b/>
        </w:rPr>
        <w:t xml:space="preserve"> de</w:t>
      </w:r>
      <w:r w:rsidR="007144DB">
        <w:rPr>
          <w:b/>
        </w:rPr>
        <w:t xml:space="preserve"> ressources financières pour initier de tels projets : seuls 29% des TPE et 53% des grand</w:t>
      </w:r>
      <w:r w:rsidR="00A80357">
        <w:rPr>
          <w:b/>
        </w:rPr>
        <w:t>e</w:t>
      </w:r>
      <w:r w:rsidR="007144DB">
        <w:rPr>
          <w:b/>
        </w:rPr>
        <w:t xml:space="preserve">s </w:t>
      </w:r>
      <w:r w:rsidR="00F67B0B">
        <w:rPr>
          <w:b/>
        </w:rPr>
        <w:t>en</w:t>
      </w:r>
      <w:bookmarkStart w:id="0" w:name="_GoBack"/>
      <w:bookmarkEnd w:id="0"/>
      <w:r w:rsidR="00F67B0B">
        <w:rPr>
          <w:b/>
        </w:rPr>
        <w:t>trepri</w:t>
      </w:r>
      <w:r w:rsidR="007144DB">
        <w:rPr>
          <w:b/>
        </w:rPr>
        <w:t>s</w:t>
      </w:r>
      <w:r w:rsidR="00F67B0B">
        <w:rPr>
          <w:b/>
        </w:rPr>
        <w:t>es</w:t>
      </w:r>
      <w:r w:rsidR="007144DB">
        <w:rPr>
          <w:b/>
        </w:rPr>
        <w:t xml:space="preserve"> disent pouvoir financer leur propre transition</w:t>
      </w:r>
    </w:p>
    <w:p w:rsidR="006900B8" w:rsidRDefault="006900B8" w:rsidP="00B778D0">
      <w:pPr>
        <w:pStyle w:val="Paragraphedeliste"/>
        <w:numPr>
          <w:ilvl w:val="0"/>
          <w:numId w:val="11"/>
        </w:numPr>
        <w:rPr>
          <w:b/>
        </w:rPr>
      </w:pPr>
      <w:r>
        <w:rPr>
          <w:b/>
        </w:rPr>
        <w:t xml:space="preserve">Des </w:t>
      </w:r>
      <w:r w:rsidRPr="006900B8">
        <w:rPr>
          <w:b/>
        </w:rPr>
        <w:t>équipes dédiées sous</w:t>
      </w:r>
      <w:r w:rsidR="00B778D0">
        <w:rPr>
          <w:b/>
        </w:rPr>
        <w:t>-</w:t>
      </w:r>
      <w:r w:rsidRPr="006900B8">
        <w:rPr>
          <w:b/>
        </w:rPr>
        <w:t xml:space="preserve">dimensionnées : </w:t>
      </w:r>
      <w:r w:rsidRPr="006900B8">
        <w:rPr>
          <w:b/>
          <w:szCs w:val="20"/>
        </w:rPr>
        <w:t>64% des investisseurs, 57% des entreprises et 49% des collectivités territoriales n’ont pas les moyens humains suffisants</w:t>
      </w:r>
    </w:p>
    <w:p w:rsidR="007144DB" w:rsidRDefault="007144DB" w:rsidP="00B778D0">
      <w:pPr>
        <w:pStyle w:val="Paragraphedeliste"/>
        <w:numPr>
          <w:ilvl w:val="0"/>
          <w:numId w:val="11"/>
        </w:numPr>
        <w:rPr>
          <w:b/>
        </w:rPr>
      </w:pPr>
      <w:r>
        <w:rPr>
          <w:b/>
        </w:rPr>
        <w:t>E</w:t>
      </w:r>
      <w:r w:rsidR="006900B8">
        <w:rPr>
          <w:b/>
        </w:rPr>
        <w:t>nfin</w:t>
      </w:r>
      <w:r>
        <w:rPr>
          <w:b/>
        </w:rPr>
        <w:t xml:space="preserve"> les investisseurs sont en retrait sur la question : 64% </w:t>
      </w:r>
      <w:r w:rsidR="002609B6">
        <w:rPr>
          <w:b/>
        </w:rPr>
        <w:t>des acteurs financiers</w:t>
      </w:r>
      <w:r>
        <w:rPr>
          <w:b/>
        </w:rPr>
        <w:t xml:space="preserve"> n’en font pas une priorité et 54% ne voient pas d’intérêt à investir dans les actifs bas</w:t>
      </w:r>
      <w:r w:rsidR="004D69BF">
        <w:rPr>
          <w:b/>
        </w:rPr>
        <w:t xml:space="preserve"> </w:t>
      </w:r>
      <w:r>
        <w:rPr>
          <w:b/>
        </w:rPr>
        <w:t>carbone</w:t>
      </w:r>
      <w:r w:rsidR="006900B8">
        <w:rPr>
          <w:b/>
        </w:rPr>
        <w:t>.</w:t>
      </w:r>
    </w:p>
    <w:p w:rsidR="006900B8" w:rsidRPr="006900B8" w:rsidRDefault="006900B8" w:rsidP="00B778D0">
      <w:pPr>
        <w:pStyle w:val="Paragraphedeliste"/>
        <w:numPr>
          <w:ilvl w:val="0"/>
          <w:numId w:val="11"/>
        </w:numPr>
        <w:rPr>
          <w:b/>
        </w:rPr>
      </w:pPr>
      <w:r w:rsidRPr="006900B8">
        <w:rPr>
          <w:b/>
        </w:rPr>
        <w:t xml:space="preserve">80% </w:t>
      </w:r>
      <w:r>
        <w:rPr>
          <w:b/>
        </w:rPr>
        <w:t xml:space="preserve">des acteurs financiers </w:t>
      </w:r>
      <w:r w:rsidRPr="006900B8">
        <w:rPr>
          <w:b/>
        </w:rPr>
        <w:t>ne mènent aucune politique de désinvestissement dans les énergies fossiles, considérant qu’elles offrent toujours des rendements élevés.</w:t>
      </w:r>
    </w:p>
    <w:p w:rsidR="006900B8" w:rsidRDefault="006900B8" w:rsidP="00B778D0">
      <w:pPr>
        <w:pStyle w:val="Paragraphedeliste"/>
        <w:rPr>
          <w:b/>
        </w:rPr>
      </w:pPr>
    </w:p>
    <w:p w:rsidR="00AC2488" w:rsidRDefault="00AC2488" w:rsidP="00B778D0">
      <w:pPr>
        <w:jc w:val="both"/>
        <w:rPr>
          <w:rFonts w:ascii="Arial" w:hAnsi="Arial" w:cs="Arial"/>
          <w:b/>
          <w:sz w:val="20"/>
          <w:szCs w:val="20"/>
        </w:rPr>
      </w:pPr>
    </w:p>
    <w:p w:rsidR="005D48CA" w:rsidRDefault="005D48CA" w:rsidP="00B778D0">
      <w:pPr>
        <w:jc w:val="both"/>
        <w:rPr>
          <w:rFonts w:ascii="Arial" w:hAnsi="Arial" w:cs="Arial"/>
          <w:b/>
          <w:sz w:val="20"/>
          <w:szCs w:val="20"/>
        </w:rPr>
      </w:pPr>
      <w:r w:rsidRPr="00DC79B3">
        <w:rPr>
          <w:rFonts w:ascii="Arial" w:hAnsi="Arial" w:cs="Arial"/>
          <w:b/>
          <w:sz w:val="20"/>
          <w:szCs w:val="20"/>
        </w:rPr>
        <w:t>La transition</w:t>
      </w:r>
      <w:r w:rsidR="005630A4" w:rsidRPr="00DC79B3">
        <w:rPr>
          <w:rFonts w:ascii="Arial" w:hAnsi="Arial" w:cs="Arial"/>
          <w:b/>
          <w:sz w:val="20"/>
          <w:szCs w:val="20"/>
        </w:rPr>
        <w:t xml:space="preserve"> énergétique</w:t>
      </w:r>
      <w:r w:rsidR="00B85F81" w:rsidRPr="00DC79B3">
        <w:rPr>
          <w:rFonts w:ascii="Arial" w:hAnsi="Arial" w:cs="Arial"/>
          <w:b/>
          <w:sz w:val="20"/>
          <w:szCs w:val="20"/>
        </w:rPr>
        <w:t>, un concept très général aux réalités bien différentes selon les acteurs</w:t>
      </w:r>
    </w:p>
    <w:p w:rsidR="00222D2B" w:rsidRDefault="002609B6" w:rsidP="00B778D0">
      <w:pPr>
        <w:jc w:val="both"/>
        <w:rPr>
          <w:rFonts w:ascii="Arial" w:hAnsi="Arial" w:cs="Arial"/>
          <w:sz w:val="20"/>
          <w:szCs w:val="20"/>
        </w:rPr>
      </w:pPr>
      <w:r w:rsidRPr="002609B6">
        <w:rPr>
          <w:rFonts w:ascii="Arial" w:hAnsi="Arial" w:cs="Arial"/>
          <w:sz w:val="20"/>
          <w:szCs w:val="20"/>
        </w:rPr>
        <w:t xml:space="preserve">La </w:t>
      </w:r>
      <w:r>
        <w:rPr>
          <w:rFonts w:ascii="Arial" w:hAnsi="Arial" w:cs="Arial"/>
          <w:sz w:val="20"/>
          <w:szCs w:val="20"/>
        </w:rPr>
        <w:t>t</w:t>
      </w:r>
      <w:r w:rsidRPr="002609B6">
        <w:rPr>
          <w:rFonts w:ascii="Arial" w:hAnsi="Arial" w:cs="Arial"/>
          <w:sz w:val="20"/>
          <w:szCs w:val="20"/>
        </w:rPr>
        <w:t xml:space="preserve">ransition </w:t>
      </w:r>
      <w:r>
        <w:rPr>
          <w:rFonts w:ascii="Arial" w:hAnsi="Arial" w:cs="Arial"/>
          <w:sz w:val="20"/>
          <w:szCs w:val="20"/>
        </w:rPr>
        <w:t>é</w:t>
      </w:r>
      <w:r w:rsidRPr="002609B6">
        <w:rPr>
          <w:rFonts w:ascii="Arial" w:hAnsi="Arial" w:cs="Arial"/>
          <w:sz w:val="20"/>
          <w:szCs w:val="20"/>
        </w:rPr>
        <w:t>nergétique est devenue un terme « fourre</w:t>
      </w:r>
      <w:r w:rsidR="00B778D0">
        <w:rPr>
          <w:rFonts w:ascii="Arial" w:hAnsi="Arial" w:cs="Arial"/>
          <w:sz w:val="20"/>
          <w:szCs w:val="20"/>
        </w:rPr>
        <w:t>-</w:t>
      </w:r>
      <w:r w:rsidRPr="002609B6">
        <w:rPr>
          <w:rFonts w:ascii="Arial" w:hAnsi="Arial" w:cs="Arial"/>
          <w:sz w:val="20"/>
          <w:szCs w:val="20"/>
        </w:rPr>
        <w:t>tout »</w:t>
      </w:r>
      <w:r w:rsidR="00D47106">
        <w:rPr>
          <w:rFonts w:ascii="Arial" w:hAnsi="Arial" w:cs="Arial"/>
          <w:sz w:val="20"/>
          <w:szCs w:val="20"/>
        </w:rPr>
        <w:t xml:space="preserve"> : </w:t>
      </w:r>
      <w:r w:rsidRPr="002609B6">
        <w:rPr>
          <w:rFonts w:ascii="Arial" w:hAnsi="Arial" w:cs="Arial"/>
          <w:sz w:val="20"/>
          <w:szCs w:val="20"/>
        </w:rPr>
        <w:t>bon nombre d’acteurs publics et privés n’en donnent pas de définition spontanée</w:t>
      </w:r>
      <w:r>
        <w:rPr>
          <w:rFonts w:ascii="Arial" w:hAnsi="Arial" w:cs="Arial"/>
          <w:sz w:val="20"/>
          <w:szCs w:val="20"/>
        </w:rPr>
        <w:t xml:space="preserve">, mais plusieurs </w:t>
      </w:r>
      <w:r w:rsidR="00B778D0">
        <w:rPr>
          <w:rFonts w:ascii="Arial" w:hAnsi="Arial" w:cs="Arial"/>
          <w:sz w:val="20"/>
          <w:szCs w:val="20"/>
        </w:rPr>
        <w:t xml:space="preserve">mots clés </w:t>
      </w:r>
      <w:r>
        <w:rPr>
          <w:rFonts w:ascii="Arial" w:hAnsi="Arial" w:cs="Arial"/>
          <w:sz w:val="20"/>
          <w:szCs w:val="20"/>
        </w:rPr>
        <w:t xml:space="preserve">avec tout d’abord </w:t>
      </w:r>
      <w:r w:rsidRPr="002609B6">
        <w:rPr>
          <w:rFonts w:ascii="Arial" w:hAnsi="Arial" w:cs="Arial"/>
          <w:sz w:val="20"/>
          <w:szCs w:val="20"/>
        </w:rPr>
        <w:t>les «</w:t>
      </w:r>
      <w:r>
        <w:rPr>
          <w:rFonts w:ascii="Arial" w:hAnsi="Arial" w:cs="Arial"/>
          <w:sz w:val="20"/>
          <w:szCs w:val="20"/>
        </w:rPr>
        <w:t xml:space="preserve"> </w:t>
      </w:r>
      <w:r w:rsidR="00B778D0">
        <w:rPr>
          <w:rFonts w:ascii="Arial" w:hAnsi="Arial" w:cs="Arial"/>
          <w:sz w:val="20"/>
          <w:szCs w:val="20"/>
        </w:rPr>
        <w:t>é</w:t>
      </w:r>
      <w:r w:rsidRPr="002609B6">
        <w:rPr>
          <w:rFonts w:ascii="Arial" w:hAnsi="Arial" w:cs="Arial"/>
          <w:sz w:val="20"/>
          <w:szCs w:val="20"/>
        </w:rPr>
        <w:t xml:space="preserve">nergies </w:t>
      </w:r>
      <w:r w:rsidR="00B778D0">
        <w:rPr>
          <w:rFonts w:ascii="Arial" w:hAnsi="Arial" w:cs="Arial"/>
          <w:sz w:val="20"/>
          <w:szCs w:val="20"/>
        </w:rPr>
        <w:t>r</w:t>
      </w:r>
      <w:r w:rsidRPr="002609B6">
        <w:rPr>
          <w:rFonts w:ascii="Arial" w:hAnsi="Arial" w:cs="Arial"/>
          <w:sz w:val="20"/>
          <w:szCs w:val="20"/>
        </w:rPr>
        <w:t>enouvelables »</w:t>
      </w:r>
      <w:r>
        <w:rPr>
          <w:rFonts w:ascii="Arial" w:hAnsi="Arial" w:cs="Arial"/>
          <w:sz w:val="20"/>
          <w:szCs w:val="20"/>
        </w:rPr>
        <w:t xml:space="preserve"> (pour 22%)</w:t>
      </w:r>
      <w:r w:rsidRPr="002609B6">
        <w:rPr>
          <w:rFonts w:ascii="Arial" w:hAnsi="Arial" w:cs="Arial"/>
          <w:sz w:val="20"/>
          <w:szCs w:val="20"/>
        </w:rPr>
        <w:t>, puis la « lutte contre le réchauffement climatique »</w:t>
      </w:r>
      <w:r>
        <w:rPr>
          <w:rFonts w:ascii="Arial" w:hAnsi="Arial" w:cs="Arial"/>
          <w:sz w:val="20"/>
          <w:szCs w:val="20"/>
        </w:rPr>
        <w:t xml:space="preserve"> (15%)</w:t>
      </w:r>
      <w:r w:rsidRPr="002609B6">
        <w:rPr>
          <w:rFonts w:ascii="Arial" w:hAnsi="Arial" w:cs="Arial"/>
          <w:sz w:val="20"/>
          <w:szCs w:val="20"/>
        </w:rPr>
        <w:t xml:space="preserve">, les « économies d’énergies » </w:t>
      </w:r>
      <w:r>
        <w:rPr>
          <w:rFonts w:ascii="Arial" w:hAnsi="Arial" w:cs="Arial"/>
          <w:sz w:val="20"/>
          <w:szCs w:val="20"/>
        </w:rPr>
        <w:t xml:space="preserve">(13%) </w:t>
      </w:r>
      <w:r w:rsidRPr="002609B6">
        <w:rPr>
          <w:rFonts w:ascii="Arial" w:hAnsi="Arial" w:cs="Arial"/>
          <w:sz w:val="20"/>
          <w:szCs w:val="20"/>
        </w:rPr>
        <w:t>ou encore « l’écologie »</w:t>
      </w:r>
      <w:r>
        <w:rPr>
          <w:rFonts w:ascii="Arial" w:hAnsi="Arial" w:cs="Arial"/>
          <w:sz w:val="20"/>
          <w:szCs w:val="20"/>
        </w:rPr>
        <w:t xml:space="preserve"> (12%)</w:t>
      </w:r>
      <w:r w:rsidRPr="002609B6">
        <w:rPr>
          <w:rFonts w:ascii="Arial" w:hAnsi="Arial" w:cs="Arial"/>
          <w:sz w:val="20"/>
          <w:szCs w:val="20"/>
        </w:rPr>
        <w:t>.</w:t>
      </w:r>
    </w:p>
    <w:p w:rsidR="00023092" w:rsidRPr="00023092" w:rsidRDefault="00023092" w:rsidP="00B778D0">
      <w:pPr>
        <w:jc w:val="both"/>
        <w:rPr>
          <w:rFonts w:ascii="Arial" w:hAnsi="Arial" w:cs="Arial"/>
          <w:i/>
          <w:sz w:val="20"/>
          <w:szCs w:val="20"/>
        </w:rPr>
      </w:pPr>
      <w:r w:rsidRPr="00005D22">
        <w:rPr>
          <w:rFonts w:ascii="Arial" w:hAnsi="Arial" w:cs="Arial"/>
          <w:b/>
          <w:sz w:val="20"/>
          <w:szCs w:val="20"/>
        </w:rPr>
        <w:t xml:space="preserve">Julien </w:t>
      </w:r>
      <w:proofErr w:type="spellStart"/>
      <w:r w:rsidRPr="00005D22">
        <w:rPr>
          <w:rFonts w:ascii="Arial" w:hAnsi="Arial" w:cs="Arial"/>
          <w:b/>
          <w:sz w:val="20"/>
          <w:szCs w:val="20"/>
        </w:rPr>
        <w:t>Henault</w:t>
      </w:r>
      <w:proofErr w:type="spellEnd"/>
      <w:r w:rsidRPr="00005D22">
        <w:rPr>
          <w:rFonts w:ascii="Arial" w:hAnsi="Arial" w:cs="Arial"/>
          <w:b/>
          <w:sz w:val="20"/>
          <w:szCs w:val="20"/>
        </w:rPr>
        <w:t>, Manager Energie et Environnement chez Mazars :</w:t>
      </w:r>
      <w:r>
        <w:rPr>
          <w:b/>
        </w:rPr>
        <w:t xml:space="preserve"> </w:t>
      </w:r>
      <w:r w:rsidRPr="00023092">
        <w:rPr>
          <w:rFonts w:ascii="Arial" w:hAnsi="Arial" w:cs="Arial"/>
          <w:i/>
          <w:sz w:val="20"/>
          <w:szCs w:val="20"/>
        </w:rPr>
        <w:t>« Sur la question de la transition énergétique, nous constatons que l</w:t>
      </w:r>
      <w:r w:rsidR="005D5E3E" w:rsidRPr="00023092">
        <w:rPr>
          <w:rFonts w:ascii="Arial" w:hAnsi="Arial" w:cs="Arial"/>
          <w:i/>
          <w:sz w:val="20"/>
          <w:szCs w:val="20"/>
        </w:rPr>
        <w:t xml:space="preserve">es collectivités </w:t>
      </w:r>
      <w:r w:rsidR="00AC2488" w:rsidRPr="00023092">
        <w:rPr>
          <w:rFonts w:ascii="Arial" w:hAnsi="Arial" w:cs="Arial"/>
          <w:i/>
          <w:sz w:val="20"/>
          <w:szCs w:val="20"/>
        </w:rPr>
        <w:t>jouent aujourd’hui un rôle moteur</w:t>
      </w:r>
      <w:r w:rsidR="00222D2B" w:rsidRPr="00023092">
        <w:rPr>
          <w:rFonts w:ascii="Arial" w:hAnsi="Arial" w:cs="Arial"/>
          <w:i/>
          <w:sz w:val="20"/>
          <w:szCs w:val="20"/>
        </w:rPr>
        <w:t xml:space="preserve"> : 86% </w:t>
      </w:r>
      <w:r w:rsidRPr="00023092">
        <w:rPr>
          <w:rFonts w:ascii="Arial" w:hAnsi="Arial" w:cs="Arial"/>
          <w:i/>
          <w:sz w:val="20"/>
          <w:szCs w:val="20"/>
        </w:rPr>
        <w:t xml:space="preserve">d’entre elles en </w:t>
      </w:r>
      <w:r w:rsidR="00222D2B" w:rsidRPr="00023092">
        <w:rPr>
          <w:rFonts w:ascii="Arial" w:hAnsi="Arial" w:cs="Arial"/>
          <w:i/>
          <w:sz w:val="20"/>
          <w:szCs w:val="20"/>
        </w:rPr>
        <w:t>font une priorité</w:t>
      </w:r>
      <w:r w:rsidRPr="00023092">
        <w:rPr>
          <w:rFonts w:ascii="Arial" w:hAnsi="Arial" w:cs="Arial"/>
          <w:i/>
          <w:sz w:val="20"/>
          <w:szCs w:val="20"/>
        </w:rPr>
        <w:t>,</w:t>
      </w:r>
      <w:r w:rsidR="00222D2B" w:rsidRPr="00023092">
        <w:rPr>
          <w:rFonts w:ascii="Arial" w:hAnsi="Arial" w:cs="Arial"/>
          <w:i/>
          <w:sz w:val="20"/>
          <w:szCs w:val="20"/>
        </w:rPr>
        <w:t xml:space="preserve"> </w:t>
      </w:r>
      <w:r w:rsidRPr="00023092">
        <w:rPr>
          <w:rFonts w:ascii="Arial" w:hAnsi="Arial" w:cs="Arial"/>
          <w:i/>
          <w:sz w:val="20"/>
          <w:szCs w:val="20"/>
        </w:rPr>
        <w:t>loin devant les entreprises (</w:t>
      </w:r>
      <w:r w:rsidR="00222D2B" w:rsidRPr="00023092">
        <w:rPr>
          <w:rFonts w:ascii="Arial" w:hAnsi="Arial" w:cs="Arial"/>
          <w:i/>
          <w:sz w:val="20"/>
          <w:szCs w:val="20"/>
        </w:rPr>
        <w:t>57</w:t>
      </w:r>
      <w:r w:rsidRPr="00023092">
        <w:rPr>
          <w:rFonts w:ascii="Arial" w:hAnsi="Arial" w:cs="Arial"/>
          <w:i/>
          <w:sz w:val="20"/>
          <w:szCs w:val="20"/>
        </w:rPr>
        <w:t>%).</w:t>
      </w:r>
      <w:r w:rsidR="00222D2B" w:rsidRPr="00023092">
        <w:rPr>
          <w:rFonts w:ascii="Arial" w:hAnsi="Arial" w:cs="Arial"/>
          <w:i/>
          <w:sz w:val="20"/>
          <w:szCs w:val="20"/>
        </w:rPr>
        <w:t xml:space="preserve"> </w:t>
      </w:r>
      <w:r w:rsidRPr="00023092">
        <w:rPr>
          <w:rFonts w:ascii="Arial" w:hAnsi="Arial" w:cs="Arial"/>
          <w:i/>
          <w:sz w:val="20"/>
          <w:szCs w:val="20"/>
        </w:rPr>
        <w:t xml:space="preserve">Un système à deux vitesses </w:t>
      </w:r>
      <w:r w:rsidR="00034CF7">
        <w:rPr>
          <w:rFonts w:ascii="Arial" w:hAnsi="Arial" w:cs="Arial"/>
          <w:i/>
          <w:sz w:val="20"/>
          <w:szCs w:val="20"/>
        </w:rPr>
        <w:t xml:space="preserve">qui se </w:t>
      </w:r>
      <w:r w:rsidRPr="00023092">
        <w:rPr>
          <w:rFonts w:ascii="Arial" w:hAnsi="Arial" w:cs="Arial"/>
          <w:i/>
          <w:sz w:val="20"/>
          <w:szCs w:val="20"/>
        </w:rPr>
        <w:t>dessine aussi nettement entre les petites et les grandes</w:t>
      </w:r>
      <w:r w:rsidR="00034CF7">
        <w:rPr>
          <w:rFonts w:ascii="Arial" w:hAnsi="Arial" w:cs="Arial"/>
          <w:i/>
          <w:sz w:val="20"/>
          <w:szCs w:val="20"/>
        </w:rPr>
        <w:t xml:space="preserve"> entreprises</w:t>
      </w:r>
      <w:r w:rsidRPr="00023092">
        <w:rPr>
          <w:rFonts w:ascii="Arial" w:hAnsi="Arial" w:cs="Arial"/>
          <w:i/>
          <w:sz w:val="20"/>
          <w:szCs w:val="20"/>
        </w:rPr>
        <w:t xml:space="preserve">. » </w:t>
      </w:r>
    </w:p>
    <w:p w:rsidR="00023092" w:rsidRDefault="00023092" w:rsidP="00B778D0">
      <w:pPr>
        <w:jc w:val="both"/>
        <w:rPr>
          <w:rFonts w:ascii="Arial" w:hAnsi="Arial" w:cs="Arial"/>
          <w:sz w:val="20"/>
          <w:szCs w:val="20"/>
        </w:rPr>
      </w:pPr>
      <w:r w:rsidRPr="00023092">
        <w:rPr>
          <w:rFonts w:ascii="Arial" w:hAnsi="Arial" w:cs="Arial"/>
          <w:b/>
          <w:sz w:val="20"/>
          <w:szCs w:val="20"/>
        </w:rPr>
        <w:t>Pour les collectivités</w:t>
      </w:r>
      <w:r>
        <w:rPr>
          <w:rFonts w:ascii="Arial" w:hAnsi="Arial" w:cs="Arial"/>
          <w:sz w:val="20"/>
          <w:szCs w:val="20"/>
        </w:rPr>
        <w:t>, l</w:t>
      </w:r>
      <w:r w:rsidR="00AC2488">
        <w:rPr>
          <w:rFonts w:ascii="Arial" w:hAnsi="Arial" w:cs="Arial"/>
          <w:sz w:val="20"/>
          <w:szCs w:val="20"/>
        </w:rPr>
        <w:t>a transition énergétique arrive ainsi en 3</w:t>
      </w:r>
      <w:r w:rsidR="00AC2488" w:rsidRPr="00AC2488">
        <w:rPr>
          <w:rFonts w:ascii="Arial" w:hAnsi="Arial" w:cs="Arial"/>
          <w:sz w:val="20"/>
          <w:szCs w:val="20"/>
          <w:vertAlign w:val="superscript"/>
        </w:rPr>
        <w:t>ème</w:t>
      </w:r>
      <w:r w:rsidR="00AC2488">
        <w:rPr>
          <w:rFonts w:ascii="Arial" w:hAnsi="Arial" w:cs="Arial"/>
          <w:sz w:val="20"/>
          <w:szCs w:val="20"/>
        </w:rPr>
        <w:t xml:space="preserve"> position </w:t>
      </w:r>
      <w:r w:rsidR="00222D2B">
        <w:rPr>
          <w:rFonts w:ascii="Arial" w:hAnsi="Arial" w:cs="Arial"/>
          <w:sz w:val="20"/>
          <w:szCs w:val="20"/>
        </w:rPr>
        <w:t xml:space="preserve">des priorités </w:t>
      </w:r>
      <w:r w:rsidR="00AC2488">
        <w:rPr>
          <w:rFonts w:ascii="Arial" w:hAnsi="Arial" w:cs="Arial"/>
          <w:sz w:val="20"/>
          <w:szCs w:val="20"/>
        </w:rPr>
        <w:t>derrière l’aménagement des territoires et la satisfaction des usagers</w:t>
      </w:r>
      <w:r w:rsidR="004D69BF">
        <w:rPr>
          <w:rFonts w:ascii="Arial" w:hAnsi="Arial" w:cs="Arial"/>
          <w:sz w:val="20"/>
          <w:szCs w:val="20"/>
        </w:rPr>
        <w:t> ; e</w:t>
      </w:r>
      <w:r w:rsidR="002E22DE" w:rsidRPr="0087517F">
        <w:rPr>
          <w:rFonts w:ascii="Arial" w:hAnsi="Arial" w:cs="Arial"/>
          <w:sz w:val="20"/>
          <w:szCs w:val="20"/>
        </w:rPr>
        <w:t xml:space="preserve">lles </w:t>
      </w:r>
      <w:r w:rsidR="005D5E3E" w:rsidRPr="0087517F">
        <w:rPr>
          <w:rFonts w:ascii="Arial" w:hAnsi="Arial" w:cs="Arial"/>
          <w:sz w:val="20"/>
          <w:szCs w:val="20"/>
        </w:rPr>
        <w:t xml:space="preserve">mènent des initiatives sur tous les </w:t>
      </w:r>
      <w:r w:rsidR="005D5E3E" w:rsidRPr="0087517F">
        <w:rPr>
          <w:rFonts w:ascii="Arial" w:hAnsi="Arial" w:cs="Arial"/>
          <w:sz w:val="20"/>
          <w:szCs w:val="20"/>
        </w:rPr>
        <w:lastRenderedPageBreak/>
        <w:t>fronts : la construction et rénovation des bâtiments</w:t>
      </w:r>
      <w:r w:rsidR="00E02E79" w:rsidRPr="0087517F">
        <w:rPr>
          <w:rFonts w:ascii="Arial" w:hAnsi="Arial" w:cs="Arial"/>
          <w:sz w:val="20"/>
          <w:szCs w:val="20"/>
        </w:rPr>
        <w:t xml:space="preserve"> (83%)</w:t>
      </w:r>
      <w:r w:rsidR="005D5E3E" w:rsidRPr="0087517F">
        <w:rPr>
          <w:rFonts w:ascii="Arial" w:hAnsi="Arial" w:cs="Arial"/>
          <w:sz w:val="20"/>
          <w:szCs w:val="20"/>
        </w:rPr>
        <w:t xml:space="preserve">, </w:t>
      </w:r>
      <w:r w:rsidR="00E02E79" w:rsidRPr="0087517F">
        <w:rPr>
          <w:rFonts w:ascii="Arial" w:hAnsi="Arial" w:cs="Arial"/>
          <w:sz w:val="20"/>
          <w:szCs w:val="20"/>
        </w:rPr>
        <w:t>la lutte contre le gaspillage (80%), des actions de sensibilisation (80%), l’aide au développement des énergies renouvelable (53</w:t>
      </w:r>
      <w:r w:rsidR="00AC2488">
        <w:rPr>
          <w:rFonts w:ascii="Arial" w:hAnsi="Arial" w:cs="Arial"/>
          <w:sz w:val="20"/>
          <w:szCs w:val="20"/>
        </w:rPr>
        <w:t xml:space="preserve">%). </w:t>
      </w:r>
    </w:p>
    <w:p w:rsidR="00E02E79" w:rsidRDefault="00AC2488" w:rsidP="00B778D0">
      <w:pPr>
        <w:jc w:val="both"/>
        <w:rPr>
          <w:rFonts w:ascii="Arial" w:hAnsi="Arial" w:cs="Arial"/>
          <w:sz w:val="20"/>
          <w:szCs w:val="20"/>
        </w:rPr>
      </w:pPr>
      <w:r>
        <w:rPr>
          <w:rFonts w:ascii="Arial" w:hAnsi="Arial" w:cs="Arial"/>
          <w:b/>
          <w:sz w:val="20"/>
          <w:szCs w:val="20"/>
        </w:rPr>
        <w:t xml:space="preserve">Pour les </w:t>
      </w:r>
      <w:r w:rsidR="00E02E79" w:rsidRPr="0087517F">
        <w:rPr>
          <w:rFonts w:ascii="Arial" w:hAnsi="Arial" w:cs="Arial"/>
          <w:b/>
          <w:sz w:val="20"/>
          <w:szCs w:val="20"/>
        </w:rPr>
        <w:t>entreprises</w:t>
      </w:r>
      <w:r w:rsidR="00E02E79" w:rsidRPr="00555956">
        <w:rPr>
          <w:rFonts w:ascii="Arial" w:hAnsi="Arial" w:cs="Arial"/>
          <w:sz w:val="20"/>
          <w:szCs w:val="20"/>
        </w:rPr>
        <w:t xml:space="preserve">, </w:t>
      </w:r>
      <w:r w:rsidRPr="00B778D0">
        <w:rPr>
          <w:rFonts w:ascii="Arial" w:hAnsi="Arial" w:cs="Arial"/>
          <w:sz w:val="20"/>
          <w:szCs w:val="20"/>
        </w:rPr>
        <w:t>les</w:t>
      </w:r>
      <w:r>
        <w:rPr>
          <w:rFonts w:ascii="Arial" w:hAnsi="Arial" w:cs="Arial"/>
          <w:sz w:val="20"/>
          <w:szCs w:val="20"/>
        </w:rPr>
        <w:t xml:space="preserve"> a</w:t>
      </w:r>
      <w:r w:rsidR="002E22DE" w:rsidRPr="0087517F">
        <w:rPr>
          <w:rFonts w:ascii="Arial" w:hAnsi="Arial" w:cs="Arial"/>
          <w:sz w:val="20"/>
          <w:szCs w:val="20"/>
        </w:rPr>
        <w:t xml:space="preserve">ctions menées </w:t>
      </w:r>
      <w:r>
        <w:rPr>
          <w:rFonts w:ascii="Arial" w:hAnsi="Arial" w:cs="Arial"/>
          <w:sz w:val="20"/>
          <w:szCs w:val="20"/>
        </w:rPr>
        <w:t xml:space="preserve">visent </w:t>
      </w:r>
      <w:r w:rsidR="00005D22">
        <w:rPr>
          <w:rFonts w:ascii="Arial" w:hAnsi="Arial" w:cs="Arial"/>
          <w:sz w:val="20"/>
          <w:szCs w:val="20"/>
        </w:rPr>
        <w:t>avant tout</w:t>
      </w:r>
      <w:r w:rsidR="002E22DE" w:rsidRPr="0087517F">
        <w:rPr>
          <w:rFonts w:ascii="Arial" w:hAnsi="Arial" w:cs="Arial"/>
          <w:sz w:val="20"/>
          <w:szCs w:val="20"/>
        </w:rPr>
        <w:t> : la lutte contre le gaspillage (83%), la sensibilisation des salariés (68%)</w:t>
      </w:r>
      <w:r w:rsidR="00B778D0">
        <w:rPr>
          <w:rFonts w:ascii="Arial" w:hAnsi="Arial" w:cs="Arial"/>
          <w:sz w:val="20"/>
          <w:szCs w:val="20"/>
        </w:rPr>
        <w:t>,</w:t>
      </w:r>
      <w:r w:rsidR="002E22DE" w:rsidRPr="0087517F">
        <w:rPr>
          <w:rFonts w:ascii="Arial" w:hAnsi="Arial" w:cs="Arial"/>
          <w:sz w:val="20"/>
          <w:szCs w:val="20"/>
        </w:rPr>
        <w:t xml:space="preserve"> la construction ou rénovation</w:t>
      </w:r>
      <w:r w:rsidR="00B778D0">
        <w:rPr>
          <w:rFonts w:ascii="Arial" w:hAnsi="Arial" w:cs="Arial"/>
          <w:sz w:val="20"/>
          <w:szCs w:val="20"/>
        </w:rPr>
        <w:t xml:space="preserve"> </w:t>
      </w:r>
      <w:r w:rsidR="002E22DE" w:rsidRPr="0087517F">
        <w:rPr>
          <w:rFonts w:ascii="Arial" w:hAnsi="Arial" w:cs="Arial"/>
          <w:sz w:val="20"/>
          <w:szCs w:val="20"/>
        </w:rPr>
        <w:t>de bâtiment (47%)</w:t>
      </w:r>
      <w:r w:rsidR="00AC7E02" w:rsidRPr="0087517F">
        <w:rPr>
          <w:rFonts w:ascii="Arial" w:hAnsi="Arial" w:cs="Arial"/>
          <w:sz w:val="20"/>
          <w:szCs w:val="20"/>
        </w:rPr>
        <w:t>, la modification des process de production ou la conception de produits verts (32%), la mise en place de systèmes de transport propres pour les salariés (31%)</w:t>
      </w:r>
      <w:r w:rsidR="002E22DE" w:rsidRPr="0087517F">
        <w:rPr>
          <w:rFonts w:ascii="Arial" w:hAnsi="Arial" w:cs="Arial"/>
          <w:sz w:val="20"/>
          <w:szCs w:val="20"/>
        </w:rPr>
        <w:t>. L’envergure des projets diffère très nettement selon la taille des entreprises.</w:t>
      </w:r>
      <w:r w:rsidR="00023092">
        <w:rPr>
          <w:rFonts w:ascii="Arial" w:hAnsi="Arial" w:cs="Arial"/>
          <w:sz w:val="20"/>
          <w:szCs w:val="20"/>
        </w:rPr>
        <w:t xml:space="preserve"> </w:t>
      </w:r>
    </w:p>
    <w:p w:rsidR="003C2BD0" w:rsidRPr="00DC79B3" w:rsidRDefault="003C2BD0" w:rsidP="00B778D0">
      <w:pPr>
        <w:jc w:val="both"/>
        <w:rPr>
          <w:rFonts w:ascii="Arial" w:hAnsi="Arial" w:cs="Arial"/>
          <w:sz w:val="20"/>
          <w:szCs w:val="20"/>
        </w:rPr>
      </w:pPr>
      <w:r w:rsidRPr="00DC79B3">
        <w:rPr>
          <w:rFonts w:ascii="Arial" w:hAnsi="Arial" w:cs="Arial"/>
          <w:b/>
          <w:sz w:val="20"/>
          <w:szCs w:val="20"/>
        </w:rPr>
        <w:t>Le m</w:t>
      </w:r>
      <w:r w:rsidR="00B412CF" w:rsidRPr="00DC79B3">
        <w:rPr>
          <w:rFonts w:ascii="Arial" w:hAnsi="Arial" w:cs="Arial"/>
          <w:b/>
          <w:sz w:val="20"/>
          <w:szCs w:val="20"/>
        </w:rPr>
        <w:t xml:space="preserve">anque </w:t>
      </w:r>
      <w:r w:rsidR="00AC7E02" w:rsidRPr="00DC79B3">
        <w:rPr>
          <w:rFonts w:ascii="Arial" w:hAnsi="Arial" w:cs="Arial"/>
          <w:b/>
          <w:sz w:val="20"/>
          <w:szCs w:val="20"/>
        </w:rPr>
        <w:t>de moyens financiers</w:t>
      </w:r>
      <w:r w:rsidR="00B412CF" w:rsidRPr="00DC79B3">
        <w:rPr>
          <w:rFonts w:ascii="Arial" w:hAnsi="Arial" w:cs="Arial"/>
          <w:b/>
          <w:sz w:val="20"/>
          <w:szCs w:val="20"/>
        </w:rPr>
        <w:t xml:space="preserve"> et humains</w:t>
      </w:r>
      <w:r w:rsidR="00AC7E02" w:rsidRPr="00DC79B3">
        <w:rPr>
          <w:rFonts w:ascii="Arial" w:hAnsi="Arial" w:cs="Arial"/>
          <w:b/>
          <w:sz w:val="20"/>
          <w:szCs w:val="20"/>
        </w:rPr>
        <w:t xml:space="preserve"> et </w:t>
      </w:r>
      <w:r w:rsidR="007F41B4">
        <w:rPr>
          <w:rFonts w:ascii="Arial" w:hAnsi="Arial" w:cs="Arial"/>
          <w:b/>
          <w:sz w:val="20"/>
          <w:szCs w:val="20"/>
        </w:rPr>
        <w:t xml:space="preserve">une rentabilité insuffisante </w:t>
      </w:r>
      <w:r w:rsidRPr="00DC79B3">
        <w:rPr>
          <w:rFonts w:ascii="Arial" w:hAnsi="Arial" w:cs="Arial"/>
          <w:b/>
          <w:sz w:val="20"/>
          <w:szCs w:val="20"/>
        </w:rPr>
        <w:t>freine</w:t>
      </w:r>
      <w:r w:rsidR="00005D22">
        <w:rPr>
          <w:rFonts w:ascii="Arial" w:hAnsi="Arial" w:cs="Arial"/>
          <w:b/>
          <w:sz w:val="20"/>
          <w:szCs w:val="20"/>
        </w:rPr>
        <w:t>nt</w:t>
      </w:r>
      <w:r w:rsidRPr="00DC79B3">
        <w:rPr>
          <w:rFonts w:ascii="Arial" w:hAnsi="Arial" w:cs="Arial"/>
          <w:b/>
          <w:sz w:val="20"/>
          <w:szCs w:val="20"/>
        </w:rPr>
        <w:t xml:space="preserve"> la transition énergétique</w:t>
      </w:r>
    </w:p>
    <w:p w:rsidR="005630A4" w:rsidRPr="0087517F" w:rsidRDefault="003C2BD0" w:rsidP="00B778D0">
      <w:pPr>
        <w:jc w:val="both"/>
        <w:rPr>
          <w:rFonts w:ascii="Arial" w:hAnsi="Arial" w:cs="Arial"/>
          <w:sz w:val="20"/>
          <w:szCs w:val="20"/>
        </w:rPr>
      </w:pPr>
      <w:r w:rsidRPr="0087517F">
        <w:rPr>
          <w:rFonts w:ascii="Arial" w:hAnsi="Arial" w:cs="Arial"/>
          <w:sz w:val="20"/>
          <w:szCs w:val="20"/>
        </w:rPr>
        <w:t>L</w:t>
      </w:r>
      <w:r w:rsidR="00B412CF" w:rsidRPr="0087517F">
        <w:rPr>
          <w:rFonts w:ascii="Arial" w:hAnsi="Arial" w:cs="Arial"/>
          <w:sz w:val="20"/>
          <w:szCs w:val="20"/>
        </w:rPr>
        <w:t xml:space="preserve">’étude met en lumière </w:t>
      </w:r>
      <w:r w:rsidRPr="0087517F">
        <w:rPr>
          <w:rFonts w:ascii="Arial" w:hAnsi="Arial" w:cs="Arial"/>
          <w:sz w:val="20"/>
          <w:szCs w:val="20"/>
        </w:rPr>
        <w:t>les</w:t>
      </w:r>
      <w:r w:rsidR="005630A4" w:rsidRPr="0087517F">
        <w:rPr>
          <w:rFonts w:ascii="Arial" w:hAnsi="Arial" w:cs="Arial"/>
          <w:sz w:val="20"/>
          <w:szCs w:val="20"/>
        </w:rPr>
        <w:t xml:space="preserve"> </w:t>
      </w:r>
      <w:r w:rsidR="005630A4" w:rsidRPr="0087517F">
        <w:rPr>
          <w:rFonts w:ascii="Arial" w:hAnsi="Arial" w:cs="Arial"/>
          <w:b/>
          <w:sz w:val="20"/>
          <w:szCs w:val="20"/>
        </w:rPr>
        <w:t>difficultés</w:t>
      </w:r>
      <w:r w:rsidRPr="0087517F">
        <w:rPr>
          <w:rFonts w:ascii="Arial" w:hAnsi="Arial" w:cs="Arial"/>
          <w:b/>
          <w:sz w:val="20"/>
          <w:szCs w:val="20"/>
        </w:rPr>
        <w:t xml:space="preserve"> des entreprises</w:t>
      </w:r>
      <w:r w:rsidR="005630A4" w:rsidRPr="0087517F">
        <w:rPr>
          <w:rFonts w:ascii="Arial" w:hAnsi="Arial" w:cs="Arial"/>
          <w:b/>
          <w:sz w:val="20"/>
          <w:szCs w:val="20"/>
        </w:rPr>
        <w:t xml:space="preserve"> à dégager les ressources financières</w:t>
      </w:r>
      <w:r w:rsidR="005630A4" w:rsidRPr="0087517F">
        <w:rPr>
          <w:rFonts w:ascii="Arial" w:hAnsi="Arial" w:cs="Arial"/>
          <w:sz w:val="20"/>
          <w:szCs w:val="20"/>
        </w:rPr>
        <w:t xml:space="preserve"> pour </w:t>
      </w:r>
      <w:r w:rsidR="007144DB">
        <w:rPr>
          <w:rFonts w:ascii="Arial" w:hAnsi="Arial" w:cs="Arial"/>
          <w:sz w:val="20"/>
          <w:szCs w:val="20"/>
        </w:rPr>
        <w:t>lancer</w:t>
      </w:r>
      <w:r w:rsidR="005630A4" w:rsidRPr="0087517F">
        <w:rPr>
          <w:rFonts w:ascii="Arial" w:hAnsi="Arial" w:cs="Arial"/>
          <w:sz w:val="20"/>
          <w:szCs w:val="20"/>
        </w:rPr>
        <w:t xml:space="preserve"> </w:t>
      </w:r>
      <w:r w:rsidR="002E22DE" w:rsidRPr="0087517F">
        <w:rPr>
          <w:rFonts w:ascii="Arial" w:hAnsi="Arial" w:cs="Arial"/>
          <w:sz w:val="20"/>
          <w:szCs w:val="20"/>
        </w:rPr>
        <w:t xml:space="preserve">des projets </w:t>
      </w:r>
      <w:r w:rsidR="005630A4" w:rsidRPr="0087517F">
        <w:rPr>
          <w:rFonts w:ascii="Arial" w:hAnsi="Arial" w:cs="Arial"/>
          <w:sz w:val="20"/>
          <w:szCs w:val="20"/>
        </w:rPr>
        <w:t>de transition énergétique</w:t>
      </w:r>
      <w:r w:rsidR="002E22DE" w:rsidRPr="0087517F">
        <w:rPr>
          <w:rFonts w:ascii="Arial" w:hAnsi="Arial" w:cs="Arial"/>
          <w:sz w:val="20"/>
          <w:szCs w:val="20"/>
        </w:rPr>
        <w:t xml:space="preserve"> </w:t>
      </w:r>
      <w:r w:rsidR="005630A4" w:rsidRPr="0087517F">
        <w:rPr>
          <w:rFonts w:ascii="Arial" w:hAnsi="Arial" w:cs="Arial"/>
          <w:sz w:val="20"/>
          <w:szCs w:val="20"/>
        </w:rPr>
        <w:t xml:space="preserve">: </w:t>
      </w:r>
      <w:r w:rsidR="00131E55" w:rsidRPr="0087517F">
        <w:rPr>
          <w:rFonts w:ascii="Arial" w:hAnsi="Arial" w:cs="Arial"/>
          <w:sz w:val="20"/>
          <w:szCs w:val="20"/>
        </w:rPr>
        <w:t xml:space="preserve">c’est le cas pour </w:t>
      </w:r>
      <w:r w:rsidR="005630A4" w:rsidRPr="0087517F">
        <w:rPr>
          <w:rFonts w:ascii="Arial" w:hAnsi="Arial" w:cs="Arial"/>
          <w:sz w:val="20"/>
          <w:szCs w:val="20"/>
        </w:rPr>
        <w:t xml:space="preserve">71% des </w:t>
      </w:r>
      <w:r w:rsidR="00131E55" w:rsidRPr="0087517F">
        <w:rPr>
          <w:rFonts w:ascii="Arial" w:hAnsi="Arial" w:cs="Arial"/>
          <w:sz w:val="20"/>
          <w:szCs w:val="20"/>
        </w:rPr>
        <w:t>PME</w:t>
      </w:r>
      <w:r w:rsidRPr="0087517F">
        <w:rPr>
          <w:rFonts w:ascii="Arial" w:hAnsi="Arial" w:cs="Arial"/>
          <w:sz w:val="20"/>
          <w:szCs w:val="20"/>
        </w:rPr>
        <w:t xml:space="preserve"> </w:t>
      </w:r>
      <w:r w:rsidR="005630A4" w:rsidRPr="0087517F">
        <w:rPr>
          <w:rFonts w:ascii="Arial" w:hAnsi="Arial" w:cs="Arial"/>
          <w:sz w:val="20"/>
          <w:szCs w:val="20"/>
        </w:rPr>
        <w:t xml:space="preserve">et </w:t>
      </w:r>
      <w:r w:rsidR="00AC2488">
        <w:rPr>
          <w:rFonts w:ascii="Arial" w:hAnsi="Arial" w:cs="Arial"/>
          <w:sz w:val="20"/>
          <w:szCs w:val="20"/>
        </w:rPr>
        <w:t>près d’</w:t>
      </w:r>
      <w:r w:rsidR="00B778D0">
        <w:rPr>
          <w:rFonts w:ascii="Arial" w:hAnsi="Arial" w:cs="Arial"/>
          <w:sz w:val="20"/>
          <w:szCs w:val="20"/>
        </w:rPr>
        <w:t>un</w:t>
      </w:r>
      <w:r w:rsidR="00AC2488">
        <w:rPr>
          <w:rFonts w:ascii="Arial" w:hAnsi="Arial" w:cs="Arial"/>
          <w:sz w:val="20"/>
          <w:szCs w:val="20"/>
        </w:rPr>
        <w:t xml:space="preserve"> grand groupe sur </w:t>
      </w:r>
      <w:r w:rsidR="00B778D0">
        <w:rPr>
          <w:rFonts w:ascii="Arial" w:hAnsi="Arial" w:cs="Arial"/>
          <w:sz w:val="20"/>
          <w:szCs w:val="20"/>
        </w:rPr>
        <w:t>deux</w:t>
      </w:r>
      <w:r w:rsidRPr="0087517F">
        <w:rPr>
          <w:rFonts w:ascii="Arial" w:hAnsi="Arial" w:cs="Arial"/>
          <w:sz w:val="20"/>
          <w:szCs w:val="20"/>
        </w:rPr>
        <w:t xml:space="preserve"> </w:t>
      </w:r>
      <w:r w:rsidR="00AC2488">
        <w:rPr>
          <w:rFonts w:ascii="Arial" w:hAnsi="Arial" w:cs="Arial"/>
          <w:sz w:val="20"/>
          <w:szCs w:val="20"/>
        </w:rPr>
        <w:t>(</w:t>
      </w:r>
      <w:r w:rsidR="005630A4" w:rsidRPr="0087517F">
        <w:rPr>
          <w:rFonts w:ascii="Arial" w:hAnsi="Arial" w:cs="Arial"/>
          <w:sz w:val="20"/>
          <w:szCs w:val="20"/>
        </w:rPr>
        <w:t>47%</w:t>
      </w:r>
      <w:r w:rsidR="00AC2488">
        <w:rPr>
          <w:rFonts w:ascii="Arial" w:hAnsi="Arial" w:cs="Arial"/>
          <w:sz w:val="20"/>
          <w:szCs w:val="20"/>
        </w:rPr>
        <w:t>)</w:t>
      </w:r>
      <w:r w:rsidR="005630A4" w:rsidRPr="0087517F">
        <w:rPr>
          <w:rFonts w:ascii="Arial" w:hAnsi="Arial" w:cs="Arial"/>
          <w:sz w:val="20"/>
          <w:szCs w:val="20"/>
        </w:rPr>
        <w:t>.</w:t>
      </w:r>
      <w:r w:rsidR="00B85F81" w:rsidRPr="0087517F">
        <w:rPr>
          <w:rFonts w:ascii="Arial" w:hAnsi="Arial" w:cs="Arial"/>
          <w:sz w:val="20"/>
          <w:szCs w:val="20"/>
        </w:rPr>
        <w:t xml:space="preserve"> </w:t>
      </w:r>
      <w:r w:rsidR="005630A4" w:rsidRPr="0087517F">
        <w:rPr>
          <w:rFonts w:ascii="Arial" w:hAnsi="Arial" w:cs="Arial"/>
          <w:sz w:val="20"/>
          <w:szCs w:val="20"/>
        </w:rPr>
        <w:t xml:space="preserve">Sur le plan opérationnel, </w:t>
      </w:r>
      <w:r w:rsidR="005630A4" w:rsidRPr="0087517F">
        <w:rPr>
          <w:rFonts w:ascii="Arial" w:hAnsi="Arial" w:cs="Arial"/>
          <w:b/>
          <w:sz w:val="20"/>
          <w:szCs w:val="20"/>
        </w:rPr>
        <w:t xml:space="preserve">le déficit de ressources et compétences humaines </w:t>
      </w:r>
      <w:r w:rsidR="005630A4" w:rsidRPr="0087517F">
        <w:rPr>
          <w:rFonts w:ascii="Arial" w:hAnsi="Arial" w:cs="Arial"/>
          <w:sz w:val="20"/>
          <w:szCs w:val="20"/>
        </w:rPr>
        <w:t>pèse aussi sur le d</w:t>
      </w:r>
      <w:r w:rsidR="00B412CF" w:rsidRPr="0087517F">
        <w:rPr>
          <w:rFonts w:ascii="Arial" w:hAnsi="Arial" w:cs="Arial"/>
          <w:sz w:val="20"/>
          <w:szCs w:val="20"/>
        </w:rPr>
        <w:t>é</w:t>
      </w:r>
      <w:r w:rsidR="005630A4" w:rsidRPr="0087517F">
        <w:rPr>
          <w:rFonts w:ascii="Arial" w:hAnsi="Arial" w:cs="Arial"/>
          <w:sz w:val="20"/>
          <w:szCs w:val="20"/>
        </w:rPr>
        <w:t>veloppement de tels projets :</w:t>
      </w:r>
      <w:r w:rsidR="00B412CF" w:rsidRPr="0087517F">
        <w:rPr>
          <w:rFonts w:ascii="Arial" w:hAnsi="Arial" w:cs="Arial"/>
          <w:sz w:val="20"/>
          <w:szCs w:val="20"/>
        </w:rPr>
        <w:t xml:space="preserve"> 64% des investisseurs, 57% des entreprises et 49% des collectivités territoriales</w:t>
      </w:r>
      <w:r w:rsidRPr="0087517F">
        <w:rPr>
          <w:rFonts w:ascii="Arial" w:hAnsi="Arial" w:cs="Arial"/>
          <w:sz w:val="20"/>
          <w:szCs w:val="20"/>
        </w:rPr>
        <w:t> </w:t>
      </w:r>
      <w:r w:rsidR="00B37BA7" w:rsidRPr="0087517F">
        <w:rPr>
          <w:rFonts w:ascii="Arial" w:hAnsi="Arial" w:cs="Arial"/>
          <w:sz w:val="20"/>
          <w:szCs w:val="20"/>
        </w:rPr>
        <w:t xml:space="preserve">n’ont pas </w:t>
      </w:r>
      <w:r w:rsidR="00AC2488">
        <w:rPr>
          <w:rFonts w:ascii="Arial" w:hAnsi="Arial" w:cs="Arial"/>
          <w:sz w:val="20"/>
          <w:szCs w:val="20"/>
        </w:rPr>
        <w:t>les</w:t>
      </w:r>
      <w:r w:rsidR="00B37BA7" w:rsidRPr="0087517F">
        <w:rPr>
          <w:rFonts w:ascii="Arial" w:hAnsi="Arial" w:cs="Arial"/>
          <w:sz w:val="20"/>
          <w:szCs w:val="20"/>
        </w:rPr>
        <w:t xml:space="preserve"> équipes suffisantes.</w:t>
      </w:r>
    </w:p>
    <w:p w:rsidR="007F41B4" w:rsidRPr="007F41B4" w:rsidRDefault="007144DB" w:rsidP="00B778D0">
      <w:pPr>
        <w:jc w:val="both"/>
        <w:rPr>
          <w:rFonts w:ascii="Arial" w:hAnsi="Arial" w:cs="Arial"/>
          <w:b/>
          <w:sz w:val="20"/>
        </w:rPr>
      </w:pPr>
      <w:r w:rsidRPr="007F41B4">
        <w:rPr>
          <w:rFonts w:ascii="Arial" w:hAnsi="Arial" w:cs="Arial"/>
          <w:b/>
          <w:sz w:val="20"/>
          <w:szCs w:val="20"/>
        </w:rPr>
        <w:t>De leur côté, l</w:t>
      </w:r>
      <w:r w:rsidR="0098027F" w:rsidRPr="007F41B4">
        <w:rPr>
          <w:rFonts w:ascii="Arial" w:hAnsi="Arial" w:cs="Arial"/>
          <w:b/>
          <w:sz w:val="20"/>
          <w:szCs w:val="20"/>
        </w:rPr>
        <w:t xml:space="preserve">es </w:t>
      </w:r>
      <w:r w:rsidR="00AC2488" w:rsidRPr="007F41B4">
        <w:rPr>
          <w:rFonts w:ascii="Arial" w:hAnsi="Arial" w:cs="Arial"/>
          <w:b/>
          <w:sz w:val="20"/>
          <w:szCs w:val="20"/>
        </w:rPr>
        <w:t xml:space="preserve">investisseurs </w:t>
      </w:r>
      <w:r w:rsidR="0098027F" w:rsidRPr="007F41B4">
        <w:rPr>
          <w:rFonts w:ascii="Arial" w:hAnsi="Arial" w:cs="Arial"/>
          <w:b/>
          <w:sz w:val="20"/>
          <w:szCs w:val="20"/>
        </w:rPr>
        <w:t xml:space="preserve">sont </w:t>
      </w:r>
      <w:r w:rsidR="00AC2488" w:rsidRPr="007F41B4">
        <w:rPr>
          <w:rFonts w:ascii="Arial" w:hAnsi="Arial" w:cs="Arial"/>
          <w:b/>
          <w:sz w:val="20"/>
          <w:szCs w:val="20"/>
        </w:rPr>
        <w:t>conscients de l’enjeu mais pointe</w:t>
      </w:r>
      <w:r w:rsidR="00B778D0">
        <w:rPr>
          <w:rFonts w:ascii="Arial" w:hAnsi="Arial" w:cs="Arial"/>
          <w:b/>
          <w:sz w:val="20"/>
          <w:szCs w:val="20"/>
        </w:rPr>
        <w:t>nt</w:t>
      </w:r>
      <w:r w:rsidR="00AC2488" w:rsidRPr="007F41B4">
        <w:rPr>
          <w:rFonts w:ascii="Arial" w:hAnsi="Arial" w:cs="Arial"/>
          <w:b/>
          <w:sz w:val="20"/>
          <w:szCs w:val="20"/>
        </w:rPr>
        <w:t xml:space="preserve"> un manque de clarification et de rentabilité sur les investissements verts</w:t>
      </w:r>
      <w:r w:rsidR="00B778D0">
        <w:rPr>
          <w:rFonts w:ascii="Arial" w:hAnsi="Arial" w:cs="Arial"/>
          <w:b/>
          <w:sz w:val="20"/>
          <w:szCs w:val="20"/>
        </w:rPr>
        <w:t xml:space="preserve"> : </w:t>
      </w:r>
      <w:r w:rsidR="005D5E3E" w:rsidRPr="007F41B4">
        <w:rPr>
          <w:rFonts w:ascii="Arial" w:hAnsi="Arial" w:cs="Arial"/>
          <w:sz w:val="20"/>
          <w:szCs w:val="20"/>
        </w:rPr>
        <w:t xml:space="preserve">64% des </w:t>
      </w:r>
      <w:r w:rsidR="00005D22" w:rsidRPr="007F41B4">
        <w:rPr>
          <w:rFonts w:ascii="Arial" w:hAnsi="Arial" w:cs="Arial"/>
          <w:sz w:val="20"/>
          <w:szCs w:val="20"/>
        </w:rPr>
        <w:t>acteurs financiers</w:t>
      </w:r>
      <w:r w:rsidR="005D5E3E" w:rsidRPr="007F41B4">
        <w:rPr>
          <w:rFonts w:ascii="Arial" w:hAnsi="Arial" w:cs="Arial"/>
          <w:sz w:val="20"/>
          <w:szCs w:val="20"/>
        </w:rPr>
        <w:t xml:space="preserve"> (fonds / gestionnaires d’actifs, banques / assurances…) sollicités n’en font pas encore une priorité même s’ils sont pourtant une </w:t>
      </w:r>
      <w:r w:rsidR="00B778D0">
        <w:rPr>
          <w:rFonts w:ascii="Arial" w:hAnsi="Arial" w:cs="Arial"/>
          <w:sz w:val="20"/>
          <w:szCs w:val="20"/>
        </w:rPr>
        <w:t>grande</w:t>
      </w:r>
      <w:r w:rsidR="005D5E3E" w:rsidRPr="007F41B4">
        <w:rPr>
          <w:rFonts w:ascii="Arial" w:hAnsi="Arial" w:cs="Arial"/>
          <w:sz w:val="20"/>
          <w:szCs w:val="20"/>
        </w:rPr>
        <w:t xml:space="preserve"> majorité (80%) à considérer </w:t>
      </w:r>
      <w:r w:rsidR="00005D22" w:rsidRPr="007F41B4">
        <w:rPr>
          <w:rFonts w:ascii="Arial" w:hAnsi="Arial" w:cs="Arial"/>
          <w:sz w:val="20"/>
          <w:szCs w:val="20"/>
        </w:rPr>
        <w:t>qu’il</w:t>
      </w:r>
      <w:r w:rsidR="007F41B4">
        <w:rPr>
          <w:rFonts w:ascii="Arial" w:hAnsi="Arial" w:cs="Arial"/>
          <w:sz w:val="20"/>
          <w:szCs w:val="20"/>
        </w:rPr>
        <w:t xml:space="preserve">s </w:t>
      </w:r>
      <w:r w:rsidR="007F41B4" w:rsidRPr="007F41B4">
        <w:rPr>
          <w:rFonts w:ascii="Arial" w:hAnsi="Arial" w:cs="Arial"/>
          <w:sz w:val="20"/>
          <w:szCs w:val="20"/>
        </w:rPr>
        <w:t>ont</w:t>
      </w:r>
      <w:r w:rsidR="007F41B4">
        <w:rPr>
          <w:rFonts w:ascii="Arial" w:hAnsi="Arial" w:cs="Arial"/>
          <w:sz w:val="20"/>
          <w:szCs w:val="20"/>
        </w:rPr>
        <w:t xml:space="preserve">, </w:t>
      </w:r>
      <w:r w:rsidR="007F41B4" w:rsidRPr="007F41B4">
        <w:rPr>
          <w:rFonts w:ascii="Arial" w:hAnsi="Arial" w:cs="Arial"/>
          <w:sz w:val="20"/>
          <w:szCs w:val="20"/>
        </w:rPr>
        <w:t xml:space="preserve">en général, </w:t>
      </w:r>
      <w:r w:rsidR="005D5E3E" w:rsidRPr="007F41B4">
        <w:rPr>
          <w:rFonts w:ascii="Arial" w:hAnsi="Arial" w:cs="Arial"/>
          <w:sz w:val="20"/>
          <w:szCs w:val="20"/>
        </w:rPr>
        <w:t>un rôle à jouer.</w:t>
      </w:r>
      <w:r w:rsidRPr="007F41B4">
        <w:rPr>
          <w:rFonts w:ascii="Arial" w:hAnsi="Arial" w:cs="Arial"/>
          <w:sz w:val="20"/>
          <w:szCs w:val="20"/>
        </w:rPr>
        <w:t xml:space="preserve"> </w:t>
      </w:r>
      <w:r w:rsidR="00AC2488" w:rsidRPr="007F41B4">
        <w:rPr>
          <w:rFonts w:ascii="Arial" w:hAnsi="Arial" w:cs="Arial"/>
          <w:sz w:val="20"/>
          <w:szCs w:val="20"/>
        </w:rPr>
        <w:t xml:space="preserve">Principal frein : </w:t>
      </w:r>
      <w:r w:rsidR="005D5E3E" w:rsidRPr="007F41B4">
        <w:rPr>
          <w:rFonts w:ascii="Arial" w:hAnsi="Arial" w:cs="Arial"/>
          <w:sz w:val="20"/>
          <w:szCs w:val="20"/>
        </w:rPr>
        <w:t xml:space="preserve">42% </w:t>
      </w:r>
      <w:r w:rsidR="007F41B4">
        <w:rPr>
          <w:rFonts w:ascii="Arial" w:hAnsi="Arial" w:cs="Arial"/>
          <w:sz w:val="20"/>
          <w:szCs w:val="20"/>
        </w:rPr>
        <w:t>des acteurs financiers</w:t>
      </w:r>
      <w:r w:rsidR="005D5E3E" w:rsidRPr="007F41B4">
        <w:rPr>
          <w:rFonts w:ascii="Arial" w:hAnsi="Arial" w:cs="Arial"/>
          <w:sz w:val="20"/>
          <w:szCs w:val="20"/>
        </w:rPr>
        <w:t xml:space="preserve"> interrogés estiment que les projets verts dans lesquels ils ont investi ne sont pas encore suffisamment matures pour juger de leur retour sur investissement.</w:t>
      </w:r>
      <w:r w:rsidR="007F41B4">
        <w:rPr>
          <w:rFonts w:ascii="Arial" w:hAnsi="Arial" w:cs="Arial"/>
          <w:sz w:val="20"/>
          <w:szCs w:val="20"/>
        </w:rPr>
        <w:t xml:space="preserve"> </w:t>
      </w:r>
      <w:r w:rsidR="007F41B4">
        <w:rPr>
          <w:rFonts w:ascii="Arial" w:hAnsi="Arial" w:cs="Arial"/>
          <w:sz w:val="20"/>
        </w:rPr>
        <w:t>E</w:t>
      </w:r>
      <w:r w:rsidR="00B778D0">
        <w:rPr>
          <w:rFonts w:ascii="Arial" w:hAnsi="Arial" w:cs="Arial"/>
          <w:sz w:val="20"/>
        </w:rPr>
        <w:t>nfin,</w:t>
      </w:r>
      <w:r w:rsidR="007F41B4">
        <w:rPr>
          <w:rFonts w:ascii="Arial" w:hAnsi="Arial" w:cs="Arial"/>
          <w:sz w:val="20"/>
        </w:rPr>
        <w:t xml:space="preserve"> </w:t>
      </w:r>
      <w:r w:rsidR="007F41B4" w:rsidRPr="007F41B4">
        <w:rPr>
          <w:rFonts w:ascii="Arial" w:hAnsi="Arial" w:cs="Arial"/>
          <w:sz w:val="20"/>
        </w:rPr>
        <w:t>80% d’entre eux ne mènent aucune politique de désinvestissement dans les énergies fossiles, considérant qu’elles offrent toujours des rendements élevés.</w:t>
      </w:r>
    </w:p>
    <w:p w:rsidR="00F94FEC" w:rsidRPr="0087517F" w:rsidRDefault="003C2BD0" w:rsidP="00B778D0">
      <w:pPr>
        <w:jc w:val="both"/>
        <w:rPr>
          <w:rFonts w:ascii="Arial" w:hAnsi="Arial" w:cs="Arial"/>
          <w:i/>
          <w:sz w:val="20"/>
          <w:szCs w:val="20"/>
        </w:rPr>
      </w:pPr>
      <w:r w:rsidRPr="0087517F">
        <w:rPr>
          <w:rFonts w:ascii="Arial" w:hAnsi="Arial" w:cs="Arial"/>
          <w:sz w:val="20"/>
          <w:szCs w:val="20"/>
        </w:rPr>
        <w:t xml:space="preserve">Pour </w:t>
      </w:r>
      <w:r w:rsidRPr="0087517F">
        <w:rPr>
          <w:rFonts w:ascii="Arial" w:hAnsi="Arial" w:cs="Arial"/>
          <w:b/>
          <w:sz w:val="20"/>
          <w:szCs w:val="20"/>
        </w:rPr>
        <w:t xml:space="preserve">Hervé </w:t>
      </w:r>
      <w:proofErr w:type="spellStart"/>
      <w:r w:rsidRPr="0087517F">
        <w:rPr>
          <w:rFonts w:ascii="Arial" w:hAnsi="Arial" w:cs="Arial"/>
          <w:b/>
          <w:sz w:val="20"/>
          <w:szCs w:val="20"/>
        </w:rPr>
        <w:t>Blazejewski</w:t>
      </w:r>
      <w:proofErr w:type="spellEnd"/>
      <w:r w:rsidRPr="0087517F">
        <w:rPr>
          <w:rFonts w:ascii="Arial" w:hAnsi="Arial" w:cs="Arial"/>
          <w:sz w:val="20"/>
          <w:szCs w:val="20"/>
        </w:rPr>
        <w:t xml:space="preserve">, </w:t>
      </w:r>
      <w:r w:rsidR="00F10765" w:rsidRPr="00F10765">
        <w:rPr>
          <w:rFonts w:ascii="Arial" w:hAnsi="Arial" w:cs="Arial"/>
          <w:b/>
          <w:sz w:val="20"/>
          <w:szCs w:val="20"/>
        </w:rPr>
        <w:t>A</w:t>
      </w:r>
      <w:r w:rsidRPr="00F10765">
        <w:rPr>
          <w:rFonts w:ascii="Arial" w:hAnsi="Arial" w:cs="Arial"/>
          <w:b/>
          <w:sz w:val="20"/>
          <w:szCs w:val="20"/>
        </w:rPr>
        <w:t>ssocié Energie &amp; Environnement</w:t>
      </w:r>
      <w:r w:rsidRPr="00F10765">
        <w:rPr>
          <w:rFonts w:ascii="Arial" w:hAnsi="Arial" w:cs="Arial"/>
          <w:b/>
          <w:i/>
          <w:sz w:val="20"/>
          <w:szCs w:val="20"/>
        </w:rPr>
        <w:t> </w:t>
      </w:r>
      <w:r w:rsidRPr="00F10765">
        <w:rPr>
          <w:rFonts w:ascii="Arial" w:hAnsi="Arial" w:cs="Arial"/>
          <w:b/>
          <w:sz w:val="20"/>
          <w:szCs w:val="20"/>
        </w:rPr>
        <w:t>chez Mazars</w:t>
      </w:r>
      <w:r w:rsidRPr="0087517F">
        <w:rPr>
          <w:rFonts w:ascii="Arial" w:hAnsi="Arial" w:cs="Arial"/>
          <w:i/>
          <w:sz w:val="20"/>
          <w:szCs w:val="20"/>
        </w:rPr>
        <w:t xml:space="preserve"> : « </w:t>
      </w:r>
      <w:r w:rsidR="005D5E3E" w:rsidRPr="0087517F">
        <w:rPr>
          <w:rFonts w:ascii="Arial" w:hAnsi="Arial" w:cs="Arial"/>
          <w:i/>
          <w:sz w:val="20"/>
          <w:szCs w:val="20"/>
        </w:rPr>
        <w:t>Pourtant l</w:t>
      </w:r>
      <w:r w:rsidRPr="0087517F">
        <w:rPr>
          <w:rFonts w:ascii="Arial" w:hAnsi="Arial" w:cs="Arial"/>
          <w:i/>
          <w:sz w:val="20"/>
          <w:szCs w:val="20"/>
        </w:rPr>
        <w:t>e contexte macro-économique envoie des signaux positifs aux acteurs financiers : des taux d’intérêt faibles</w:t>
      </w:r>
      <w:r w:rsidR="00B778D0">
        <w:rPr>
          <w:rFonts w:ascii="Arial" w:hAnsi="Arial" w:cs="Arial"/>
          <w:i/>
          <w:sz w:val="20"/>
          <w:szCs w:val="20"/>
        </w:rPr>
        <w:t xml:space="preserve"> et</w:t>
      </w:r>
      <w:r w:rsidRPr="0087517F">
        <w:rPr>
          <w:rFonts w:ascii="Arial" w:hAnsi="Arial" w:cs="Arial"/>
          <w:i/>
          <w:sz w:val="20"/>
          <w:szCs w:val="20"/>
        </w:rPr>
        <w:t xml:space="preserve"> des niveaux de liquidité élevés incitent à</w:t>
      </w:r>
      <w:r w:rsidR="00B37BA7" w:rsidRPr="0087517F">
        <w:rPr>
          <w:rFonts w:ascii="Arial" w:hAnsi="Arial" w:cs="Arial"/>
          <w:i/>
          <w:sz w:val="20"/>
          <w:szCs w:val="20"/>
        </w:rPr>
        <w:t xml:space="preserve"> </w:t>
      </w:r>
      <w:r w:rsidR="00131E55" w:rsidRPr="0087517F">
        <w:rPr>
          <w:rFonts w:ascii="Arial" w:hAnsi="Arial" w:cs="Arial"/>
          <w:i/>
          <w:sz w:val="20"/>
          <w:szCs w:val="20"/>
        </w:rPr>
        <w:t>investir</w:t>
      </w:r>
      <w:r w:rsidRPr="0087517F">
        <w:rPr>
          <w:rFonts w:ascii="Arial" w:hAnsi="Arial" w:cs="Arial"/>
          <w:i/>
          <w:sz w:val="20"/>
          <w:szCs w:val="20"/>
        </w:rPr>
        <w:t xml:space="preserve"> sur des projets au retour sur investissement plus long</w:t>
      </w:r>
      <w:r w:rsidR="00B778D0">
        <w:rPr>
          <w:rFonts w:ascii="Arial" w:hAnsi="Arial" w:cs="Arial"/>
          <w:i/>
          <w:sz w:val="20"/>
          <w:szCs w:val="20"/>
        </w:rPr>
        <w:t>,</w:t>
      </w:r>
      <w:r w:rsidRPr="0087517F">
        <w:rPr>
          <w:rFonts w:ascii="Arial" w:hAnsi="Arial" w:cs="Arial"/>
          <w:i/>
          <w:sz w:val="20"/>
          <w:szCs w:val="20"/>
        </w:rPr>
        <w:t xml:space="preserve"> tels que les projets </w:t>
      </w:r>
      <w:r w:rsidR="004D69BF">
        <w:rPr>
          <w:rFonts w:ascii="Arial" w:hAnsi="Arial" w:cs="Arial"/>
          <w:i/>
          <w:sz w:val="20"/>
          <w:szCs w:val="20"/>
        </w:rPr>
        <w:t>bas carbone</w:t>
      </w:r>
      <w:r w:rsidRPr="0087517F">
        <w:rPr>
          <w:rFonts w:ascii="Arial" w:hAnsi="Arial" w:cs="Arial"/>
          <w:i/>
          <w:sz w:val="20"/>
          <w:szCs w:val="20"/>
        </w:rPr>
        <w:t xml:space="preserve"> »</w:t>
      </w:r>
      <w:r w:rsidR="00EF4496" w:rsidRPr="0087517F">
        <w:rPr>
          <w:rFonts w:ascii="Arial" w:hAnsi="Arial" w:cs="Arial"/>
          <w:i/>
          <w:sz w:val="20"/>
          <w:szCs w:val="20"/>
        </w:rPr>
        <w:t xml:space="preserve">. </w:t>
      </w:r>
    </w:p>
    <w:p w:rsidR="00B412CF" w:rsidRPr="0087517F" w:rsidRDefault="007144DB" w:rsidP="00B778D0">
      <w:pPr>
        <w:jc w:val="both"/>
        <w:rPr>
          <w:rFonts w:ascii="Arial" w:hAnsi="Arial" w:cs="Arial"/>
          <w:sz w:val="20"/>
          <w:szCs w:val="20"/>
        </w:rPr>
      </w:pPr>
      <w:r>
        <w:rPr>
          <w:rFonts w:ascii="Arial" w:hAnsi="Arial" w:cs="Arial"/>
          <w:sz w:val="20"/>
          <w:szCs w:val="20"/>
        </w:rPr>
        <w:t>Enfin</w:t>
      </w:r>
      <w:r w:rsidR="00EF4496" w:rsidRPr="0087517F">
        <w:rPr>
          <w:rFonts w:ascii="Arial" w:hAnsi="Arial" w:cs="Arial"/>
          <w:sz w:val="20"/>
          <w:szCs w:val="20"/>
        </w:rPr>
        <w:t xml:space="preserve">, </w:t>
      </w:r>
      <w:r w:rsidR="0082199C" w:rsidRPr="0087517F">
        <w:rPr>
          <w:rFonts w:ascii="Arial" w:hAnsi="Arial" w:cs="Arial"/>
          <w:sz w:val="20"/>
          <w:szCs w:val="20"/>
        </w:rPr>
        <w:t>s</w:t>
      </w:r>
      <w:r w:rsidR="00B412CF" w:rsidRPr="0087517F">
        <w:rPr>
          <w:rFonts w:ascii="Arial" w:hAnsi="Arial" w:cs="Arial"/>
          <w:sz w:val="20"/>
          <w:szCs w:val="20"/>
        </w:rPr>
        <w:t>eul</w:t>
      </w:r>
      <w:r w:rsidR="00B778D0">
        <w:rPr>
          <w:rFonts w:ascii="Arial" w:hAnsi="Arial" w:cs="Arial"/>
          <w:sz w:val="20"/>
          <w:szCs w:val="20"/>
        </w:rPr>
        <w:t>e</w:t>
      </w:r>
      <w:r w:rsidR="0082199C" w:rsidRPr="0087517F">
        <w:rPr>
          <w:rFonts w:ascii="Arial" w:hAnsi="Arial" w:cs="Arial"/>
          <w:sz w:val="20"/>
          <w:szCs w:val="20"/>
        </w:rPr>
        <w:t>s</w:t>
      </w:r>
      <w:r w:rsidR="00B412CF" w:rsidRPr="0087517F">
        <w:rPr>
          <w:rFonts w:ascii="Arial" w:hAnsi="Arial" w:cs="Arial"/>
          <w:sz w:val="20"/>
          <w:szCs w:val="20"/>
        </w:rPr>
        <w:t xml:space="preserve"> un </w:t>
      </w:r>
      <w:r w:rsidR="00B778D0">
        <w:rPr>
          <w:rFonts w:ascii="Arial" w:hAnsi="Arial" w:cs="Arial"/>
          <w:sz w:val="20"/>
          <w:szCs w:val="20"/>
        </w:rPr>
        <w:t>tiers</w:t>
      </w:r>
      <w:r w:rsidR="00B412CF" w:rsidRPr="0087517F">
        <w:rPr>
          <w:rFonts w:ascii="Arial" w:hAnsi="Arial" w:cs="Arial"/>
          <w:sz w:val="20"/>
          <w:szCs w:val="20"/>
        </w:rPr>
        <w:t xml:space="preserve"> des collectivités territoriales (32%) et des entreprises (28%) considèrent que leurs </w:t>
      </w:r>
      <w:r w:rsidR="007F41B4">
        <w:rPr>
          <w:rFonts w:ascii="Arial" w:hAnsi="Arial" w:cs="Arial"/>
          <w:sz w:val="20"/>
          <w:szCs w:val="20"/>
        </w:rPr>
        <w:t>initiatives bas carbone</w:t>
      </w:r>
      <w:r w:rsidR="00B412CF" w:rsidRPr="0087517F">
        <w:rPr>
          <w:rFonts w:ascii="Arial" w:hAnsi="Arial" w:cs="Arial"/>
          <w:sz w:val="20"/>
          <w:szCs w:val="20"/>
        </w:rPr>
        <w:t xml:space="preserve"> permettent de dégager un retour sur investissement.</w:t>
      </w:r>
    </w:p>
    <w:p w:rsidR="005630A4" w:rsidRPr="0087517F" w:rsidRDefault="005630A4" w:rsidP="00B778D0">
      <w:pPr>
        <w:jc w:val="both"/>
        <w:rPr>
          <w:rFonts w:ascii="Arial" w:hAnsi="Arial" w:cs="Arial"/>
          <w:sz w:val="20"/>
          <w:szCs w:val="20"/>
        </w:rPr>
      </w:pPr>
    </w:p>
    <w:p w:rsidR="0082199C" w:rsidRPr="00DC79B3" w:rsidRDefault="00EF4496" w:rsidP="00B778D0">
      <w:pPr>
        <w:jc w:val="both"/>
        <w:rPr>
          <w:rFonts w:ascii="Arial" w:hAnsi="Arial" w:cs="Arial"/>
          <w:b/>
          <w:sz w:val="20"/>
          <w:szCs w:val="20"/>
        </w:rPr>
      </w:pPr>
      <w:r w:rsidRPr="00DC79B3">
        <w:rPr>
          <w:rFonts w:ascii="Arial" w:hAnsi="Arial" w:cs="Arial"/>
          <w:b/>
          <w:sz w:val="20"/>
          <w:szCs w:val="20"/>
        </w:rPr>
        <w:t xml:space="preserve">Des leviers pour accélérer </w:t>
      </w:r>
      <w:r w:rsidR="004D4CEE" w:rsidRPr="00DC79B3">
        <w:rPr>
          <w:rFonts w:ascii="Arial" w:hAnsi="Arial" w:cs="Arial"/>
          <w:b/>
          <w:sz w:val="20"/>
          <w:szCs w:val="20"/>
        </w:rPr>
        <w:t>la transition énergétique</w:t>
      </w:r>
    </w:p>
    <w:p w:rsidR="00F94FEC" w:rsidRPr="0087517F" w:rsidRDefault="00EF4496" w:rsidP="00B778D0">
      <w:pPr>
        <w:jc w:val="both"/>
        <w:rPr>
          <w:rFonts w:ascii="Arial" w:eastAsia="Times New Roman" w:hAnsi="Arial" w:cs="Arial"/>
          <w:sz w:val="20"/>
          <w:szCs w:val="20"/>
        </w:rPr>
      </w:pPr>
      <w:r w:rsidRPr="0087517F">
        <w:rPr>
          <w:rFonts w:ascii="Arial" w:hAnsi="Arial" w:cs="Arial"/>
          <w:sz w:val="20"/>
          <w:szCs w:val="20"/>
        </w:rPr>
        <w:t xml:space="preserve">Pour les entreprises, un des leviers est </w:t>
      </w:r>
      <w:r w:rsidRPr="0087517F">
        <w:rPr>
          <w:rFonts w:ascii="Arial" w:hAnsi="Arial" w:cs="Arial"/>
          <w:b/>
          <w:sz w:val="20"/>
          <w:szCs w:val="20"/>
        </w:rPr>
        <w:t>d’i</w:t>
      </w:r>
      <w:r w:rsidR="004D4CEE" w:rsidRPr="0087517F">
        <w:rPr>
          <w:rFonts w:ascii="Arial" w:hAnsi="Arial" w:cs="Arial"/>
          <w:b/>
          <w:sz w:val="20"/>
          <w:szCs w:val="20"/>
        </w:rPr>
        <w:t>ntégrer le risque climat dans les business model</w:t>
      </w:r>
      <w:r w:rsidRPr="0087517F">
        <w:rPr>
          <w:rFonts w:ascii="Arial" w:hAnsi="Arial" w:cs="Arial"/>
          <w:sz w:val="20"/>
          <w:szCs w:val="20"/>
        </w:rPr>
        <w:t xml:space="preserve">. Pour </w:t>
      </w:r>
      <w:r w:rsidR="00B778D0">
        <w:rPr>
          <w:rFonts w:ascii="Arial" w:hAnsi="Arial" w:cs="Arial"/>
          <w:sz w:val="20"/>
          <w:szCs w:val="20"/>
        </w:rPr>
        <w:t xml:space="preserve">les </w:t>
      </w:r>
      <w:r w:rsidRPr="0087517F">
        <w:rPr>
          <w:rFonts w:ascii="Arial" w:hAnsi="Arial" w:cs="Arial"/>
          <w:sz w:val="20"/>
          <w:szCs w:val="20"/>
        </w:rPr>
        <w:t>investisseurs, il s’agirait d’a</w:t>
      </w:r>
      <w:r w:rsidR="00764BDF" w:rsidRPr="0087517F">
        <w:rPr>
          <w:rFonts w:ascii="Arial" w:eastAsia="Times New Roman" w:hAnsi="Arial" w:cs="Arial"/>
          <w:sz w:val="20"/>
          <w:szCs w:val="20"/>
        </w:rPr>
        <w:t>ccroître le rendement des projets vert</w:t>
      </w:r>
      <w:r w:rsidR="00B778D0">
        <w:rPr>
          <w:rFonts w:ascii="Arial" w:eastAsia="Times New Roman" w:hAnsi="Arial" w:cs="Arial"/>
          <w:sz w:val="20"/>
          <w:szCs w:val="20"/>
        </w:rPr>
        <w:t>s</w:t>
      </w:r>
      <w:r w:rsidR="00764BDF" w:rsidRPr="0087517F">
        <w:rPr>
          <w:rFonts w:ascii="Arial" w:eastAsia="Times New Roman" w:hAnsi="Arial" w:cs="Arial"/>
          <w:sz w:val="20"/>
          <w:szCs w:val="20"/>
        </w:rPr>
        <w:t xml:space="preserve"> en finançant prioritairement les projets économiquement et écologiquement rentables</w:t>
      </w:r>
      <w:r w:rsidRPr="0087517F">
        <w:rPr>
          <w:rFonts w:ascii="Arial" w:eastAsia="Times New Roman" w:hAnsi="Arial" w:cs="Arial"/>
          <w:sz w:val="20"/>
          <w:szCs w:val="20"/>
        </w:rPr>
        <w:t xml:space="preserve">. </w:t>
      </w:r>
    </w:p>
    <w:p w:rsidR="00F94FEC" w:rsidRPr="0087517F" w:rsidRDefault="00EF4496" w:rsidP="00B778D0">
      <w:pPr>
        <w:jc w:val="both"/>
        <w:rPr>
          <w:rFonts w:ascii="Arial" w:eastAsia="Times New Roman" w:hAnsi="Arial" w:cs="Arial"/>
          <w:sz w:val="20"/>
          <w:szCs w:val="20"/>
        </w:rPr>
      </w:pPr>
      <w:r w:rsidRPr="0087517F">
        <w:rPr>
          <w:rFonts w:ascii="Arial" w:eastAsia="Times New Roman" w:hAnsi="Arial" w:cs="Arial"/>
          <w:sz w:val="20"/>
          <w:szCs w:val="20"/>
        </w:rPr>
        <w:t xml:space="preserve">Autre piste, </w:t>
      </w:r>
      <w:r w:rsidRPr="0087517F">
        <w:rPr>
          <w:rFonts w:ascii="Arial" w:eastAsia="Times New Roman" w:hAnsi="Arial" w:cs="Arial"/>
          <w:b/>
          <w:sz w:val="20"/>
          <w:szCs w:val="20"/>
        </w:rPr>
        <w:t>o</w:t>
      </w:r>
      <w:r w:rsidR="00764BDF" w:rsidRPr="0087517F">
        <w:rPr>
          <w:rFonts w:ascii="Arial" w:eastAsia="Times New Roman" w:hAnsi="Arial" w:cs="Arial"/>
          <w:b/>
          <w:sz w:val="20"/>
          <w:szCs w:val="20"/>
        </w:rPr>
        <w:t>rienter l’effet de levier du financement public vers la transition énergétique</w:t>
      </w:r>
      <w:r w:rsidR="00764BDF" w:rsidRPr="0087517F">
        <w:rPr>
          <w:rFonts w:ascii="Arial" w:eastAsia="Times New Roman" w:hAnsi="Arial" w:cs="Arial"/>
          <w:sz w:val="20"/>
          <w:szCs w:val="20"/>
        </w:rPr>
        <w:t xml:space="preserve"> pour favoriser et accro</w:t>
      </w:r>
      <w:r w:rsidR="00B778D0">
        <w:rPr>
          <w:rFonts w:ascii="Arial" w:eastAsia="Times New Roman" w:hAnsi="Arial" w:cs="Arial"/>
          <w:sz w:val="20"/>
          <w:szCs w:val="20"/>
        </w:rPr>
        <w:t>î</w:t>
      </w:r>
      <w:r w:rsidR="00764BDF" w:rsidRPr="0087517F">
        <w:rPr>
          <w:rFonts w:ascii="Arial" w:eastAsia="Times New Roman" w:hAnsi="Arial" w:cs="Arial"/>
          <w:sz w:val="20"/>
          <w:szCs w:val="20"/>
        </w:rPr>
        <w:t>tre l’engagement des investisseurs vers les actifs recherchés</w:t>
      </w:r>
      <w:r w:rsidRPr="0087517F">
        <w:rPr>
          <w:rFonts w:ascii="Arial" w:eastAsia="Times New Roman" w:hAnsi="Arial" w:cs="Arial"/>
          <w:sz w:val="20"/>
          <w:szCs w:val="20"/>
        </w:rPr>
        <w:t xml:space="preserve">. </w:t>
      </w:r>
    </w:p>
    <w:p w:rsidR="0098027F" w:rsidRPr="0087517F" w:rsidRDefault="0098027F" w:rsidP="00B778D0">
      <w:pPr>
        <w:jc w:val="both"/>
        <w:rPr>
          <w:rFonts w:ascii="Arial" w:hAnsi="Arial" w:cs="Arial"/>
          <w:sz w:val="20"/>
          <w:szCs w:val="20"/>
        </w:rPr>
      </w:pPr>
      <w:r w:rsidRPr="0087517F">
        <w:rPr>
          <w:rFonts w:ascii="Arial" w:hAnsi="Arial" w:cs="Arial"/>
          <w:sz w:val="20"/>
          <w:szCs w:val="20"/>
        </w:rPr>
        <w:t xml:space="preserve">48% des acteurs publics et 38% des entreprises interrogés considèrent que, </w:t>
      </w:r>
      <w:r w:rsidRPr="0087517F">
        <w:rPr>
          <w:rFonts w:ascii="Arial" w:hAnsi="Arial" w:cs="Arial"/>
          <w:b/>
          <w:sz w:val="20"/>
          <w:szCs w:val="20"/>
        </w:rPr>
        <w:t>la transparence</w:t>
      </w:r>
      <w:r w:rsidRPr="0087517F">
        <w:rPr>
          <w:rFonts w:ascii="Arial" w:hAnsi="Arial" w:cs="Arial"/>
          <w:sz w:val="20"/>
          <w:szCs w:val="20"/>
        </w:rPr>
        <w:t xml:space="preserve"> pour certifier que chaque euro investi le soit dans un actif bas carbone, est un levier pour accro</w:t>
      </w:r>
      <w:r w:rsidR="00B778D0">
        <w:rPr>
          <w:rFonts w:ascii="Arial" w:hAnsi="Arial" w:cs="Arial"/>
          <w:sz w:val="20"/>
          <w:szCs w:val="20"/>
        </w:rPr>
        <w:t>îtr</w:t>
      </w:r>
      <w:r w:rsidRPr="0087517F">
        <w:rPr>
          <w:rFonts w:ascii="Arial" w:hAnsi="Arial" w:cs="Arial"/>
          <w:sz w:val="20"/>
          <w:szCs w:val="20"/>
        </w:rPr>
        <w:t xml:space="preserve">e la part des investissements verts. </w:t>
      </w:r>
    </w:p>
    <w:p w:rsidR="000B7CE0" w:rsidRPr="00F10765" w:rsidRDefault="00AC7E02" w:rsidP="00B778D0">
      <w:pPr>
        <w:pStyle w:val="Textebrut"/>
        <w:jc w:val="both"/>
        <w:rPr>
          <w:rFonts w:ascii="Arial" w:hAnsi="Arial" w:cs="Arial"/>
        </w:rPr>
      </w:pPr>
      <w:r w:rsidRPr="00F10765">
        <w:rPr>
          <w:rFonts w:ascii="Arial" w:hAnsi="Arial" w:cs="Arial"/>
          <w:i/>
          <w:sz w:val="20"/>
          <w:szCs w:val="20"/>
        </w:rPr>
        <w:t>« La transparence et la mesure d’impact sont deux leviers importants qui permettront de généraliser les investissements verts</w:t>
      </w:r>
      <w:r w:rsidR="000B7CE0" w:rsidRPr="00F10765">
        <w:rPr>
          <w:rFonts w:ascii="Arial" w:hAnsi="Arial" w:cs="Arial"/>
          <w:i/>
          <w:sz w:val="20"/>
          <w:szCs w:val="20"/>
        </w:rPr>
        <w:t>. Proposer des modèles de certification des investissements verts, communiquer sur leur ROI sont de bonnes pratiques à développer pour inciter les acteurs économiques à flécher leurs capitaux vers davantage d'actifs verts. Il est temps de climatiser la finance</w:t>
      </w:r>
      <w:r w:rsidR="006A2123">
        <w:rPr>
          <w:rFonts w:ascii="Arial" w:hAnsi="Arial" w:cs="Arial"/>
          <w:i/>
          <w:sz w:val="20"/>
          <w:szCs w:val="20"/>
        </w:rPr>
        <w:t>.</w:t>
      </w:r>
      <w:r w:rsidR="000B7CE0" w:rsidRPr="00F10765">
        <w:rPr>
          <w:rFonts w:ascii="Arial" w:hAnsi="Arial" w:cs="Arial"/>
          <w:i/>
          <w:sz w:val="20"/>
          <w:szCs w:val="20"/>
        </w:rPr>
        <w:t>"</w:t>
      </w:r>
      <w:r w:rsidR="00F10765">
        <w:rPr>
          <w:rFonts w:ascii="Arial" w:hAnsi="Arial" w:cs="Arial"/>
          <w:sz w:val="20"/>
          <w:szCs w:val="20"/>
        </w:rPr>
        <w:t xml:space="preserve">, </w:t>
      </w:r>
      <w:r w:rsidR="00F10765" w:rsidRPr="00F10765">
        <w:rPr>
          <w:rFonts w:ascii="Arial" w:hAnsi="Arial" w:cs="Arial"/>
          <w:sz w:val="20"/>
          <w:szCs w:val="20"/>
        </w:rPr>
        <w:t>souligne</w:t>
      </w:r>
      <w:r w:rsidR="000B7CE0" w:rsidRPr="00F10765">
        <w:rPr>
          <w:rFonts w:ascii="Arial" w:hAnsi="Arial" w:cs="Arial"/>
          <w:i/>
          <w:sz w:val="20"/>
          <w:szCs w:val="20"/>
        </w:rPr>
        <w:t xml:space="preserve"> </w:t>
      </w:r>
      <w:r w:rsidR="000B7CE0" w:rsidRPr="00F10765">
        <w:rPr>
          <w:rFonts w:ascii="Arial" w:hAnsi="Arial" w:cs="Arial"/>
          <w:b/>
        </w:rPr>
        <w:t xml:space="preserve">Yann </w:t>
      </w:r>
      <w:proofErr w:type="spellStart"/>
      <w:r w:rsidR="000B7CE0" w:rsidRPr="00F10765">
        <w:rPr>
          <w:rFonts w:ascii="Arial" w:hAnsi="Arial" w:cs="Arial"/>
          <w:b/>
        </w:rPr>
        <w:t>Guyomar</w:t>
      </w:r>
      <w:proofErr w:type="spellEnd"/>
      <w:r w:rsidR="00F10765" w:rsidRPr="00F10765">
        <w:rPr>
          <w:rFonts w:ascii="Arial" w:hAnsi="Arial" w:cs="Arial"/>
          <w:b/>
        </w:rPr>
        <w:t xml:space="preserve">, </w:t>
      </w:r>
      <w:r w:rsidR="00F10765" w:rsidRPr="00F10765">
        <w:rPr>
          <w:rFonts w:ascii="Arial" w:hAnsi="Arial" w:cs="Arial"/>
          <w:b/>
          <w:sz w:val="20"/>
          <w:szCs w:val="20"/>
        </w:rPr>
        <w:t>Associé Energie &amp; Environnement</w:t>
      </w:r>
      <w:r w:rsidR="00F10765" w:rsidRPr="00F10765">
        <w:rPr>
          <w:rFonts w:ascii="Arial" w:hAnsi="Arial" w:cs="Arial"/>
          <w:b/>
          <w:i/>
          <w:sz w:val="20"/>
          <w:szCs w:val="20"/>
        </w:rPr>
        <w:t> </w:t>
      </w:r>
      <w:r w:rsidR="00F10765" w:rsidRPr="00F10765">
        <w:rPr>
          <w:rFonts w:ascii="Arial" w:hAnsi="Arial" w:cs="Arial"/>
          <w:b/>
          <w:sz w:val="20"/>
          <w:szCs w:val="20"/>
        </w:rPr>
        <w:t>chez Mazars</w:t>
      </w:r>
      <w:r w:rsidR="00F10765">
        <w:rPr>
          <w:rFonts w:ascii="Arial" w:hAnsi="Arial" w:cs="Arial"/>
          <w:b/>
          <w:sz w:val="20"/>
          <w:szCs w:val="20"/>
        </w:rPr>
        <w:t>.</w:t>
      </w:r>
    </w:p>
    <w:p w:rsidR="000B7CE0" w:rsidRPr="00F10765" w:rsidRDefault="000B7CE0" w:rsidP="00B778D0">
      <w:pPr>
        <w:pStyle w:val="Textebrut"/>
        <w:jc w:val="both"/>
        <w:rPr>
          <w:rFonts w:ascii="Arial" w:hAnsi="Arial" w:cs="Arial"/>
        </w:rPr>
      </w:pPr>
    </w:p>
    <w:p w:rsidR="005D2458" w:rsidRDefault="00F10765" w:rsidP="00B778D0">
      <w:pPr>
        <w:jc w:val="both"/>
        <w:rPr>
          <w:rFonts w:ascii="Arial" w:hAnsi="Arial" w:cs="Arial"/>
          <w:i/>
          <w:sz w:val="20"/>
          <w:szCs w:val="20"/>
        </w:rPr>
      </w:pPr>
      <w:r>
        <w:rPr>
          <w:rFonts w:ascii="Arial" w:eastAsia="Times New Roman" w:hAnsi="Arial" w:cs="Arial"/>
          <w:sz w:val="20"/>
          <w:szCs w:val="20"/>
        </w:rPr>
        <w:t xml:space="preserve"> </w:t>
      </w:r>
      <w:r w:rsidR="004D69BF">
        <w:rPr>
          <w:rFonts w:ascii="Arial" w:eastAsia="Times New Roman" w:hAnsi="Arial" w:cs="Arial"/>
          <w:sz w:val="20"/>
          <w:szCs w:val="20"/>
        </w:rPr>
        <w:t>« </w:t>
      </w:r>
      <w:r w:rsidR="004D69BF" w:rsidRPr="00555956">
        <w:rPr>
          <w:rFonts w:ascii="Arial" w:eastAsia="Times New Roman" w:hAnsi="Arial" w:cs="Arial"/>
          <w:i/>
          <w:sz w:val="20"/>
          <w:szCs w:val="20"/>
        </w:rPr>
        <w:t>Notre enquête dresse une réelle prise de conscience et envie d’agir</w:t>
      </w:r>
      <w:r w:rsidR="007F41B4" w:rsidRPr="00555956">
        <w:rPr>
          <w:rFonts w:ascii="Arial" w:eastAsia="Times New Roman" w:hAnsi="Arial" w:cs="Arial"/>
          <w:i/>
          <w:sz w:val="20"/>
          <w:szCs w:val="20"/>
        </w:rPr>
        <w:t xml:space="preserve"> des acteurs publics et privés</w:t>
      </w:r>
      <w:r w:rsidR="004D69BF" w:rsidRPr="00555956">
        <w:rPr>
          <w:rFonts w:ascii="Arial" w:eastAsia="Times New Roman" w:hAnsi="Arial" w:cs="Arial"/>
          <w:i/>
          <w:sz w:val="20"/>
          <w:szCs w:val="20"/>
        </w:rPr>
        <w:t xml:space="preserve">, malgré </w:t>
      </w:r>
      <w:r w:rsidR="00782D86" w:rsidRPr="00555956">
        <w:rPr>
          <w:rFonts w:ascii="Arial" w:eastAsia="Times New Roman" w:hAnsi="Arial" w:cs="Arial"/>
          <w:i/>
          <w:sz w:val="20"/>
          <w:szCs w:val="20"/>
        </w:rPr>
        <w:t>u</w:t>
      </w:r>
      <w:r w:rsidR="004D69BF" w:rsidRPr="00555956">
        <w:rPr>
          <w:rFonts w:ascii="Arial" w:eastAsia="Times New Roman" w:hAnsi="Arial" w:cs="Arial"/>
          <w:i/>
          <w:sz w:val="20"/>
          <w:szCs w:val="20"/>
        </w:rPr>
        <w:t>n manque de points de rencontre et de dialogue</w:t>
      </w:r>
      <w:r w:rsidR="006A2123" w:rsidRPr="00555956">
        <w:rPr>
          <w:rFonts w:ascii="Arial" w:eastAsia="Times New Roman" w:hAnsi="Arial" w:cs="Arial"/>
          <w:i/>
          <w:sz w:val="20"/>
          <w:szCs w:val="20"/>
        </w:rPr>
        <w:t xml:space="preserve"> et </w:t>
      </w:r>
      <w:r w:rsidR="004D69BF" w:rsidRPr="00555956">
        <w:rPr>
          <w:rFonts w:ascii="Arial" w:eastAsia="Times New Roman" w:hAnsi="Arial" w:cs="Arial"/>
          <w:i/>
          <w:sz w:val="20"/>
          <w:szCs w:val="20"/>
        </w:rPr>
        <w:t>des moyens humains et financiers limités</w:t>
      </w:r>
      <w:r w:rsidR="006A2123" w:rsidRPr="00555956">
        <w:rPr>
          <w:rFonts w:ascii="Arial" w:eastAsia="Times New Roman" w:hAnsi="Arial" w:cs="Arial"/>
          <w:i/>
          <w:sz w:val="20"/>
          <w:szCs w:val="20"/>
        </w:rPr>
        <w:t>.</w:t>
      </w:r>
      <w:r w:rsidR="006A2123">
        <w:rPr>
          <w:rFonts w:ascii="Arial" w:eastAsia="Times New Roman" w:hAnsi="Arial" w:cs="Arial"/>
          <w:sz w:val="20"/>
          <w:szCs w:val="20"/>
        </w:rPr>
        <w:t xml:space="preserve"> </w:t>
      </w:r>
      <w:r w:rsidR="006A2123" w:rsidRPr="00555956">
        <w:rPr>
          <w:rFonts w:ascii="Arial" w:eastAsia="Times New Roman" w:hAnsi="Arial" w:cs="Arial"/>
          <w:i/>
          <w:sz w:val="20"/>
          <w:szCs w:val="20"/>
        </w:rPr>
        <w:t>Elle</w:t>
      </w:r>
      <w:r w:rsidR="00782D86" w:rsidRPr="00555956">
        <w:rPr>
          <w:rFonts w:ascii="Arial" w:eastAsia="Times New Roman" w:hAnsi="Arial" w:cs="Arial"/>
          <w:i/>
          <w:sz w:val="20"/>
          <w:szCs w:val="20"/>
        </w:rPr>
        <w:t xml:space="preserve"> pointe</w:t>
      </w:r>
      <w:r w:rsidR="004D69BF" w:rsidRPr="00555956">
        <w:rPr>
          <w:rFonts w:ascii="Arial" w:eastAsia="Times New Roman" w:hAnsi="Arial" w:cs="Arial"/>
          <w:i/>
          <w:sz w:val="20"/>
          <w:szCs w:val="20"/>
        </w:rPr>
        <w:t xml:space="preserve"> </w:t>
      </w:r>
      <w:r w:rsidR="006A2123" w:rsidRPr="00555956">
        <w:rPr>
          <w:rFonts w:ascii="Arial" w:eastAsia="Times New Roman" w:hAnsi="Arial" w:cs="Arial"/>
          <w:i/>
          <w:sz w:val="20"/>
          <w:szCs w:val="20"/>
        </w:rPr>
        <w:t xml:space="preserve">également </w:t>
      </w:r>
      <w:r w:rsidR="004D69BF" w:rsidRPr="00555956">
        <w:rPr>
          <w:rFonts w:ascii="Arial" w:eastAsia="Times New Roman" w:hAnsi="Arial" w:cs="Arial"/>
          <w:i/>
          <w:sz w:val="20"/>
          <w:szCs w:val="20"/>
        </w:rPr>
        <w:t>de fortes attentes vis-à-vis du national pour des cadres réglementaires et fiscaux incitatifs et subventionnant</w:t>
      </w:r>
      <w:r w:rsidR="004D69BF" w:rsidRPr="004D69BF">
        <w:rPr>
          <w:rFonts w:ascii="Arial" w:eastAsia="Times New Roman" w:hAnsi="Arial" w:cs="Arial"/>
          <w:sz w:val="20"/>
          <w:szCs w:val="20"/>
        </w:rPr>
        <w:t>.</w:t>
      </w:r>
      <w:r w:rsidR="004D69BF">
        <w:rPr>
          <w:rFonts w:ascii="Arial" w:eastAsia="Times New Roman" w:hAnsi="Arial" w:cs="Arial"/>
          <w:sz w:val="20"/>
          <w:szCs w:val="20"/>
        </w:rPr>
        <w:t xml:space="preserve"> », </w:t>
      </w:r>
      <w:r w:rsidR="004D69BF">
        <w:rPr>
          <w:rFonts w:ascii="Arial" w:hAnsi="Arial" w:cs="Arial"/>
          <w:sz w:val="20"/>
          <w:szCs w:val="20"/>
        </w:rPr>
        <w:t>constat</w:t>
      </w:r>
      <w:r w:rsidR="004D69BF" w:rsidRPr="0087517F">
        <w:rPr>
          <w:rFonts w:ascii="Arial" w:hAnsi="Arial" w:cs="Arial"/>
          <w:sz w:val="20"/>
          <w:szCs w:val="20"/>
        </w:rPr>
        <w:t>e</w:t>
      </w:r>
      <w:r w:rsidR="004D69BF" w:rsidRPr="0087517F">
        <w:rPr>
          <w:rFonts w:ascii="Arial" w:hAnsi="Arial" w:cs="Arial"/>
          <w:i/>
          <w:sz w:val="20"/>
          <w:szCs w:val="20"/>
        </w:rPr>
        <w:t xml:space="preserve"> </w:t>
      </w:r>
      <w:r w:rsidR="004D69BF" w:rsidRPr="0087517F">
        <w:rPr>
          <w:rFonts w:ascii="Arial" w:hAnsi="Arial" w:cs="Arial"/>
          <w:b/>
          <w:sz w:val="20"/>
          <w:szCs w:val="20"/>
        </w:rPr>
        <w:t xml:space="preserve">Hervé </w:t>
      </w:r>
      <w:proofErr w:type="spellStart"/>
      <w:r w:rsidR="004D69BF" w:rsidRPr="0087517F">
        <w:rPr>
          <w:rFonts w:ascii="Arial" w:hAnsi="Arial" w:cs="Arial"/>
          <w:b/>
          <w:sz w:val="20"/>
          <w:szCs w:val="20"/>
        </w:rPr>
        <w:t>Blazejewski</w:t>
      </w:r>
      <w:proofErr w:type="spellEnd"/>
      <w:r w:rsidR="004D69BF" w:rsidRPr="0087517F">
        <w:rPr>
          <w:rFonts w:ascii="Arial" w:hAnsi="Arial" w:cs="Arial"/>
          <w:b/>
          <w:sz w:val="20"/>
          <w:szCs w:val="20"/>
        </w:rPr>
        <w:t>.</w:t>
      </w:r>
    </w:p>
    <w:p w:rsidR="009F4F07" w:rsidRPr="00555956" w:rsidRDefault="00DA3233" w:rsidP="00B778D0">
      <w:pPr>
        <w:jc w:val="both"/>
        <w:rPr>
          <w:rFonts w:ascii="Arial" w:hAnsi="Arial" w:cs="Arial"/>
          <w:b/>
          <w:sz w:val="20"/>
          <w:szCs w:val="20"/>
        </w:rPr>
      </w:pPr>
      <w:r w:rsidRPr="00555956">
        <w:rPr>
          <w:rFonts w:ascii="Arial" w:hAnsi="Arial" w:cs="Arial"/>
          <w:b/>
          <w:sz w:val="20"/>
          <w:szCs w:val="20"/>
        </w:rPr>
        <w:lastRenderedPageBreak/>
        <w:t>Méthodologie</w:t>
      </w:r>
    </w:p>
    <w:p w:rsidR="00DA3233" w:rsidRPr="006A2123" w:rsidRDefault="00DA3233" w:rsidP="00B778D0">
      <w:pPr>
        <w:jc w:val="both"/>
        <w:rPr>
          <w:rFonts w:ascii="Arial" w:hAnsi="Arial" w:cs="Arial"/>
          <w:sz w:val="20"/>
          <w:szCs w:val="20"/>
        </w:rPr>
      </w:pPr>
      <w:r w:rsidRPr="006A2123">
        <w:rPr>
          <w:rFonts w:ascii="Arial" w:hAnsi="Arial" w:cs="Arial"/>
          <w:sz w:val="20"/>
          <w:szCs w:val="20"/>
        </w:rPr>
        <w:t>Cette étude a été réalisé</w:t>
      </w:r>
      <w:r w:rsidR="008777C1" w:rsidRPr="006A2123">
        <w:rPr>
          <w:rFonts w:ascii="Arial" w:hAnsi="Arial" w:cs="Arial"/>
          <w:sz w:val="20"/>
          <w:szCs w:val="20"/>
        </w:rPr>
        <w:t>e</w:t>
      </w:r>
      <w:r w:rsidRPr="006A2123">
        <w:rPr>
          <w:rFonts w:ascii="Arial" w:hAnsi="Arial" w:cs="Arial"/>
          <w:sz w:val="20"/>
          <w:szCs w:val="20"/>
        </w:rPr>
        <w:t xml:space="preserve"> par l’institut CSA pour Mazars du 10 décembre 2018 au 9 janvier 2019.</w:t>
      </w:r>
      <w:r w:rsidR="00163075" w:rsidRPr="00555956">
        <w:rPr>
          <w:rFonts w:ascii="Arial" w:hAnsi="Arial" w:cs="Arial"/>
        </w:rPr>
        <w:t xml:space="preserve"> Sur un é</w:t>
      </w:r>
      <w:r w:rsidR="00163075" w:rsidRPr="006A2123">
        <w:rPr>
          <w:rFonts w:ascii="Arial" w:hAnsi="Arial" w:cs="Arial"/>
          <w:sz w:val="20"/>
          <w:szCs w:val="20"/>
        </w:rPr>
        <w:t>chantillon de 270 dirigeants et décisionnaires privés et publics : l</w:t>
      </w:r>
      <w:r w:rsidRPr="006A2123">
        <w:rPr>
          <w:rFonts w:ascii="Arial" w:hAnsi="Arial" w:cs="Arial"/>
          <w:sz w:val="20"/>
          <w:szCs w:val="20"/>
        </w:rPr>
        <w:t>a population interrogée est de 3 natures différentes : 100 acteurs publics (conseils régionaux/départementaux, intercommunalités, communes) ; 120 dirigeants ou décisionnaires sur les questions d’énergie au sein d’entreprises de 10 salariés ou plus ; et enfin 50 investisseurs (acteurs bancaires, assurance</w:t>
      </w:r>
      <w:r w:rsidR="006A2123">
        <w:rPr>
          <w:rFonts w:ascii="Arial" w:hAnsi="Arial" w:cs="Arial"/>
          <w:sz w:val="20"/>
          <w:szCs w:val="20"/>
        </w:rPr>
        <w:t>s</w:t>
      </w:r>
      <w:r w:rsidRPr="006A2123">
        <w:rPr>
          <w:rFonts w:ascii="Arial" w:hAnsi="Arial" w:cs="Arial"/>
          <w:sz w:val="20"/>
          <w:szCs w:val="20"/>
        </w:rPr>
        <w:t>, mutuelles, gestionnaires d’actifs/portefeuilles).</w:t>
      </w:r>
    </w:p>
    <w:p w:rsidR="00E10583" w:rsidRPr="0087517F" w:rsidRDefault="00E10583" w:rsidP="00B778D0">
      <w:pPr>
        <w:jc w:val="both"/>
        <w:rPr>
          <w:rFonts w:ascii="Arial" w:hAnsi="Arial" w:cs="Arial"/>
          <w:sz w:val="20"/>
          <w:szCs w:val="20"/>
        </w:rPr>
      </w:pPr>
      <w:r w:rsidRPr="0087517F">
        <w:rPr>
          <w:rFonts w:ascii="Arial" w:hAnsi="Arial" w:cs="Arial"/>
          <w:b/>
          <w:sz w:val="20"/>
          <w:szCs w:val="20"/>
        </w:rPr>
        <w:t>CONTACTS PRESSE</w:t>
      </w:r>
    </w:p>
    <w:p w:rsidR="00E10583" w:rsidRPr="0087517F" w:rsidRDefault="00E10583" w:rsidP="00B778D0">
      <w:pPr>
        <w:contextualSpacing/>
        <w:jc w:val="both"/>
        <w:rPr>
          <w:rFonts w:ascii="Arial" w:hAnsi="Arial" w:cs="Arial"/>
          <w:b/>
          <w:sz w:val="20"/>
          <w:szCs w:val="20"/>
        </w:rPr>
      </w:pPr>
      <w:r w:rsidRPr="0087517F">
        <w:rPr>
          <w:rFonts w:ascii="Arial" w:hAnsi="Arial" w:cs="Arial"/>
          <w:b/>
          <w:sz w:val="20"/>
          <w:szCs w:val="20"/>
        </w:rPr>
        <w:t>Mazars</w:t>
      </w:r>
    </w:p>
    <w:p w:rsidR="00E10583" w:rsidRPr="0087517F" w:rsidRDefault="00E10583" w:rsidP="00B778D0">
      <w:pPr>
        <w:contextualSpacing/>
        <w:jc w:val="both"/>
        <w:rPr>
          <w:rFonts w:ascii="Arial" w:hAnsi="Arial" w:cs="Arial"/>
          <w:sz w:val="20"/>
          <w:szCs w:val="20"/>
        </w:rPr>
      </w:pPr>
      <w:r w:rsidRPr="0087517F">
        <w:rPr>
          <w:rFonts w:ascii="Arial" w:hAnsi="Arial" w:cs="Arial"/>
          <w:sz w:val="20"/>
          <w:szCs w:val="20"/>
        </w:rPr>
        <w:t xml:space="preserve">Sarah </w:t>
      </w:r>
      <w:proofErr w:type="spellStart"/>
      <w:r w:rsidRPr="0087517F">
        <w:rPr>
          <w:rFonts w:ascii="Arial" w:hAnsi="Arial" w:cs="Arial"/>
          <w:sz w:val="20"/>
          <w:szCs w:val="20"/>
        </w:rPr>
        <w:t>Lhéritier</w:t>
      </w:r>
      <w:proofErr w:type="spellEnd"/>
      <w:r w:rsidRPr="0087517F">
        <w:rPr>
          <w:rFonts w:ascii="Arial" w:hAnsi="Arial" w:cs="Arial"/>
          <w:sz w:val="20"/>
          <w:szCs w:val="20"/>
        </w:rPr>
        <w:t xml:space="preserve"> Directrice Communication France – 06 32 97 82 97 – </w:t>
      </w:r>
      <w:hyperlink r:id="rId6" w:history="1">
        <w:r w:rsidRPr="0087517F">
          <w:rPr>
            <w:rStyle w:val="Lienhypertexte"/>
            <w:rFonts w:ascii="Arial" w:hAnsi="Arial" w:cs="Arial"/>
            <w:sz w:val="20"/>
            <w:szCs w:val="20"/>
          </w:rPr>
          <w:t>sarah.lheritier@mazars.fr</w:t>
        </w:r>
      </w:hyperlink>
      <w:r w:rsidRPr="0087517F">
        <w:rPr>
          <w:rFonts w:ascii="Arial" w:hAnsi="Arial" w:cs="Arial"/>
          <w:sz w:val="20"/>
          <w:szCs w:val="20"/>
        </w:rPr>
        <w:t xml:space="preserve"> </w:t>
      </w:r>
    </w:p>
    <w:p w:rsidR="00E10583" w:rsidRPr="0087517F" w:rsidRDefault="00E10583" w:rsidP="00B778D0">
      <w:pPr>
        <w:contextualSpacing/>
        <w:jc w:val="both"/>
        <w:rPr>
          <w:rFonts w:ascii="Arial" w:hAnsi="Arial" w:cs="Arial"/>
          <w:sz w:val="20"/>
          <w:szCs w:val="20"/>
        </w:rPr>
      </w:pPr>
    </w:p>
    <w:p w:rsidR="00E10583" w:rsidRPr="0087517F" w:rsidRDefault="00E10583" w:rsidP="00B778D0">
      <w:pPr>
        <w:contextualSpacing/>
        <w:jc w:val="both"/>
        <w:rPr>
          <w:rFonts w:ascii="Arial" w:hAnsi="Arial" w:cs="Arial"/>
          <w:b/>
          <w:sz w:val="20"/>
          <w:szCs w:val="20"/>
        </w:rPr>
      </w:pPr>
      <w:r w:rsidRPr="0087517F">
        <w:rPr>
          <w:rFonts w:ascii="Arial" w:hAnsi="Arial" w:cs="Arial"/>
          <w:b/>
          <w:sz w:val="20"/>
          <w:szCs w:val="20"/>
        </w:rPr>
        <w:t>Rumeur Publique</w:t>
      </w:r>
    </w:p>
    <w:p w:rsidR="00E10583" w:rsidRPr="0087517F" w:rsidRDefault="00E10583" w:rsidP="00B778D0">
      <w:pPr>
        <w:contextualSpacing/>
        <w:jc w:val="both"/>
        <w:rPr>
          <w:rFonts w:ascii="Arial" w:hAnsi="Arial" w:cs="Arial"/>
          <w:sz w:val="20"/>
          <w:szCs w:val="20"/>
        </w:rPr>
      </w:pPr>
      <w:r w:rsidRPr="0087517F">
        <w:rPr>
          <w:rFonts w:ascii="Arial" w:hAnsi="Arial" w:cs="Arial"/>
          <w:sz w:val="20"/>
          <w:szCs w:val="20"/>
        </w:rPr>
        <w:t xml:space="preserve">Marie Goislard – 01 55 74 52 33 – </w:t>
      </w:r>
      <w:hyperlink r:id="rId7" w:history="1">
        <w:r w:rsidRPr="0087517F">
          <w:rPr>
            <w:rStyle w:val="Lienhypertexte"/>
            <w:rFonts w:ascii="Arial" w:hAnsi="Arial" w:cs="Arial"/>
            <w:sz w:val="20"/>
            <w:szCs w:val="20"/>
          </w:rPr>
          <w:t>marie@rumeurpublique.fr</w:t>
        </w:r>
      </w:hyperlink>
    </w:p>
    <w:p w:rsidR="00E10583" w:rsidRPr="0087517F" w:rsidRDefault="00E10583" w:rsidP="00B778D0">
      <w:pPr>
        <w:pStyle w:val="Default"/>
        <w:jc w:val="both"/>
        <w:rPr>
          <w:b/>
          <w:bCs/>
          <w:i/>
          <w:iCs/>
          <w:sz w:val="20"/>
          <w:szCs w:val="20"/>
        </w:rPr>
      </w:pPr>
    </w:p>
    <w:p w:rsidR="00317BC9" w:rsidRPr="0087517F" w:rsidRDefault="00317BC9" w:rsidP="00B778D0">
      <w:pPr>
        <w:pStyle w:val="Default"/>
        <w:jc w:val="both"/>
        <w:rPr>
          <w:b/>
          <w:bCs/>
          <w:i/>
          <w:iCs/>
          <w:sz w:val="20"/>
          <w:szCs w:val="20"/>
        </w:rPr>
      </w:pPr>
    </w:p>
    <w:p w:rsidR="009641DB" w:rsidRPr="0087517F" w:rsidRDefault="00E10583" w:rsidP="00B778D0">
      <w:pPr>
        <w:pStyle w:val="Default"/>
        <w:jc w:val="both"/>
        <w:rPr>
          <w:b/>
          <w:bCs/>
          <w:i/>
          <w:iCs/>
          <w:sz w:val="20"/>
          <w:szCs w:val="20"/>
        </w:rPr>
      </w:pPr>
      <w:r w:rsidRPr="0087517F">
        <w:rPr>
          <w:b/>
          <w:bCs/>
          <w:i/>
          <w:iCs/>
          <w:sz w:val="20"/>
          <w:szCs w:val="20"/>
        </w:rPr>
        <w:t>A propos de Mazars</w:t>
      </w:r>
    </w:p>
    <w:p w:rsidR="00E10583" w:rsidRPr="0087517F" w:rsidRDefault="00E10583" w:rsidP="00B778D0">
      <w:pPr>
        <w:pStyle w:val="Default"/>
        <w:jc w:val="both"/>
      </w:pPr>
      <w:r w:rsidRPr="0087517F">
        <w:rPr>
          <w:b/>
          <w:bCs/>
          <w:i/>
          <w:iCs/>
          <w:sz w:val="20"/>
          <w:szCs w:val="20"/>
        </w:rPr>
        <w:t xml:space="preserve"> </w:t>
      </w:r>
    </w:p>
    <w:p w:rsidR="00E10583" w:rsidRPr="0087517F" w:rsidRDefault="00E10583" w:rsidP="00B778D0">
      <w:pPr>
        <w:jc w:val="both"/>
        <w:rPr>
          <w:rFonts w:ascii="Arial" w:hAnsi="Arial" w:cs="Arial"/>
        </w:rPr>
      </w:pPr>
      <w:r w:rsidRPr="0087517F">
        <w:rPr>
          <w:rFonts w:ascii="Arial" w:hAnsi="Arial" w:cs="Arial"/>
          <w:i/>
          <w:iCs/>
          <w:color w:val="333333"/>
          <w:sz w:val="20"/>
          <w:szCs w:val="20"/>
          <w:bdr w:val="none" w:sz="0" w:space="0" w:color="auto" w:frame="1"/>
          <w:shd w:val="clear" w:color="auto" w:fill="FFFFFF"/>
        </w:rPr>
        <w:t>Mazars est une organisation internationale, intégrée et indépendante, spécialisée dans l’audit, le conseil ainsi que les services comptables, fiscaux et juridiques. Mazars est présent dans 89 pays et territoires et fédère les expertises de 23 000 professionnels qui accompagnent les grands groupes internationaux, ETI, PME et organismes publics à toutes les étapes de leur développement.</w:t>
      </w:r>
    </w:p>
    <w:p w:rsidR="00E10583" w:rsidRPr="0087517F" w:rsidRDefault="00A80357" w:rsidP="00B778D0">
      <w:pPr>
        <w:jc w:val="both"/>
        <w:rPr>
          <w:rFonts w:ascii="Arial" w:hAnsi="Arial" w:cs="Arial"/>
        </w:rPr>
      </w:pPr>
      <w:hyperlink r:id="rId8" w:history="1">
        <w:r w:rsidR="00E10583" w:rsidRPr="0087517F">
          <w:rPr>
            <w:rStyle w:val="Lienhypertexte"/>
            <w:rFonts w:ascii="Arial" w:hAnsi="Arial" w:cs="Arial"/>
            <w:i/>
            <w:iCs/>
            <w:sz w:val="20"/>
            <w:szCs w:val="20"/>
          </w:rPr>
          <w:t>www.mazars.com</w:t>
        </w:r>
      </w:hyperlink>
      <w:r w:rsidR="00E10583" w:rsidRPr="0087517F">
        <w:rPr>
          <w:rFonts w:ascii="Arial" w:hAnsi="Arial" w:cs="Arial"/>
          <w:i/>
          <w:iCs/>
          <w:color w:val="000000"/>
          <w:sz w:val="20"/>
          <w:szCs w:val="20"/>
        </w:rPr>
        <w:t xml:space="preserve"> - </w:t>
      </w:r>
      <w:hyperlink r:id="rId9" w:history="1">
        <w:r w:rsidR="00E10583" w:rsidRPr="0087517F">
          <w:rPr>
            <w:rStyle w:val="Lienhypertexte"/>
            <w:rFonts w:ascii="Arial" w:hAnsi="Arial" w:cs="Arial"/>
            <w:i/>
            <w:iCs/>
            <w:sz w:val="20"/>
            <w:szCs w:val="20"/>
          </w:rPr>
          <w:t>www.linkedin.com/company/mazars</w:t>
        </w:r>
      </w:hyperlink>
      <w:r w:rsidR="00E10583" w:rsidRPr="0087517F">
        <w:rPr>
          <w:rFonts w:ascii="Arial" w:hAnsi="Arial" w:cs="Arial"/>
          <w:i/>
          <w:iCs/>
          <w:color w:val="000000"/>
          <w:sz w:val="20"/>
          <w:szCs w:val="20"/>
        </w:rPr>
        <w:t xml:space="preserve"> - </w:t>
      </w:r>
      <w:hyperlink r:id="rId10" w:history="1">
        <w:r w:rsidR="00E10583" w:rsidRPr="0087517F">
          <w:rPr>
            <w:rStyle w:val="Lienhypertexte"/>
            <w:rFonts w:ascii="Arial" w:hAnsi="Arial" w:cs="Arial"/>
            <w:i/>
            <w:iCs/>
            <w:sz w:val="20"/>
            <w:szCs w:val="20"/>
          </w:rPr>
          <w:t>https://twitter.com/mazarsgroup</w:t>
        </w:r>
      </w:hyperlink>
    </w:p>
    <w:p w:rsidR="005C2F9F" w:rsidRPr="0087517F" w:rsidRDefault="005C2F9F" w:rsidP="00B778D0">
      <w:pPr>
        <w:jc w:val="both"/>
        <w:rPr>
          <w:rFonts w:ascii="Arial" w:hAnsi="Arial" w:cs="Arial"/>
        </w:rPr>
      </w:pPr>
    </w:p>
    <w:p w:rsidR="00C534E8" w:rsidRPr="0087517F" w:rsidRDefault="00C534E8" w:rsidP="00B778D0">
      <w:pPr>
        <w:jc w:val="both"/>
        <w:rPr>
          <w:rFonts w:ascii="Arial" w:hAnsi="Arial" w:cs="Arial"/>
        </w:rPr>
      </w:pPr>
    </w:p>
    <w:p w:rsidR="003403E5" w:rsidRPr="0087517F" w:rsidRDefault="003403E5" w:rsidP="00B778D0">
      <w:pPr>
        <w:jc w:val="both"/>
        <w:rPr>
          <w:rFonts w:ascii="Arial" w:hAnsi="Arial" w:cs="Arial"/>
          <w:b/>
          <w:color w:val="2F5496" w:themeColor="accent1" w:themeShade="BF"/>
          <w:highlight w:val="yellow"/>
        </w:rPr>
      </w:pPr>
    </w:p>
    <w:sectPr w:rsidR="003403E5" w:rsidRPr="0087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41B"/>
    <w:multiLevelType w:val="hybridMultilevel"/>
    <w:tmpl w:val="463CF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C1F10"/>
    <w:multiLevelType w:val="hybridMultilevel"/>
    <w:tmpl w:val="E5AA5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922D73"/>
    <w:multiLevelType w:val="hybridMultilevel"/>
    <w:tmpl w:val="C400BD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73D3035"/>
    <w:multiLevelType w:val="hybridMultilevel"/>
    <w:tmpl w:val="99A60CC4"/>
    <w:lvl w:ilvl="0" w:tplc="102CB35E">
      <w:start w:val="1"/>
      <w:numFmt w:val="bullet"/>
      <w:lvlText w:val=""/>
      <w:lvlJc w:val="left"/>
      <w:pPr>
        <w:ind w:left="360" w:hanging="360"/>
      </w:pPr>
      <w:rPr>
        <w:rFonts w:ascii="Symbol" w:hAnsi="Symbol" w:hint="default"/>
        <w:color w:val="ED1D35"/>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FDB3030"/>
    <w:multiLevelType w:val="hybridMultilevel"/>
    <w:tmpl w:val="827C59A2"/>
    <w:lvl w:ilvl="0" w:tplc="380460E2">
      <w:start w:val="1"/>
      <w:numFmt w:val="bullet"/>
      <w:lvlText w:val="o"/>
      <w:lvlJc w:val="left"/>
      <w:pPr>
        <w:ind w:left="720" w:hanging="360"/>
      </w:pPr>
      <w:rPr>
        <w:rFonts w:ascii="Courier New" w:hAnsi="Courier New" w:hint="default"/>
        <w:color w:val="ED1D3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5F4F92"/>
    <w:multiLevelType w:val="hybridMultilevel"/>
    <w:tmpl w:val="AD7CDC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AC555DF"/>
    <w:multiLevelType w:val="hybridMultilevel"/>
    <w:tmpl w:val="49048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AF5F1B"/>
    <w:multiLevelType w:val="hybridMultilevel"/>
    <w:tmpl w:val="BEB84EAE"/>
    <w:lvl w:ilvl="0" w:tplc="102CB35E">
      <w:start w:val="1"/>
      <w:numFmt w:val="bullet"/>
      <w:lvlText w:val=""/>
      <w:lvlJc w:val="left"/>
      <w:pPr>
        <w:ind w:left="360" w:hanging="360"/>
      </w:pPr>
      <w:rPr>
        <w:rFonts w:ascii="Symbol" w:hAnsi="Symbol" w:hint="default"/>
        <w:color w:val="ED1D35"/>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E4F6BA3"/>
    <w:multiLevelType w:val="hybridMultilevel"/>
    <w:tmpl w:val="F3EAF050"/>
    <w:lvl w:ilvl="0" w:tplc="6E288230">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EF5411"/>
    <w:multiLevelType w:val="hybridMultilevel"/>
    <w:tmpl w:val="B67C5460"/>
    <w:lvl w:ilvl="0" w:tplc="6E288230">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8"/>
  </w:num>
  <w:num w:numId="7">
    <w:abstractNumId w:val="9"/>
  </w:num>
  <w:num w:numId="8">
    <w:abstractNumId w:val="1"/>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CF"/>
    <w:rsid w:val="00005D22"/>
    <w:rsid w:val="0000714D"/>
    <w:rsid w:val="000103E5"/>
    <w:rsid w:val="00023092"/>
    <w:rsid w:val="00034CF7"/>
    <w:rsid w:val="00060592"/>
    <w:rsid w:val="00061168"/>
    <w:rsid w:val="000636E3"/>
    <w:rsid w:val="00071F53"/>
    <w:rsid w:val="00093E45"/>
    <w:rsid w:val="000A5EAB"/>
    <w:rsid w:val="000A6733"/>
    <w:rsid w:val="000A6DFF"/>
    <w:rsid w:val="000B7CE0"/>
    <w:rsid w:val="000C3D5B"/>
    <w:rsid w:val="00105019"/>
    <w:rsid w:val="00131E55"/>
    <w:rsid w:val="001436D6"/>
    <w:rsid w:val="00154E4D"/>
    <w:rsid w:val="00156F5F"/>
    <w:rsid w:val="00157B82"/>
    <w:rsid w:val="00157C56"/>
    <w:rsid w:val="00163075"/>
    <w:rsid w:val="001863C5"/>
    <w:rsid w:val="001B4FC4"/>
    <w:rsid w:val="00222D2B"/>
    <w:rsid w:val="00231313"/>
    <w:rsid w:val="002330BB"/>
    <w:rsid w:val="00234ABB"/>
    <w:rsid w:val="002609B6"/>
    <w:rsid w:val="002634D4"/>
    <w:rsid w:val="00267435"/>
    <w:rsid w:val="00282639"/>
    <w:rsid w:val="0028629E"/>
    <w:rsid w:val="002B520E"/>
    <w:rsid w:val="002B73F9"/>
    <w:rsid w:val="002D0815"/>
    <w:rsid w:val="002E22DE"/>
    <w:rsid w:val="00317BC9"/>
    <w:rsid w:val="00327DBE"/>
    <w:rsid w:val="003403E5"/>
    <w:rsid w:val="003475BB"/>
    <w:rsid w:val="00363C79"/>
    <w:rsid w:val="003710DF"/>
    <w:rsid w:val="00390D3E"/>
    <w:rsid w:val="003C2BD0"/>
    <w:rsid w:val="003F3298"/>
    <w:rsid w:val="003F361E"/>
    <w:rsid w:val="00411C67"/>
    <w:rsid w:val="00416D63"/>
    <w:rsid w:val="004172AB"/>
    <w:rsid w:val="00443A1E"/>
    <w:rsid w:val="004561F2"/>
    <w:rsid w:val="00457B71"/>
    <w:rsid w:val="00491F36"/>
    <w:rsid w:val="00496D44"/>
    <w:rsid w:val="004C6795"/>
    <w:rsid w:val="004D4CEE"/>
    <w:rsid w:val="004D69BF"/>
    <w:rsid w:val="004E3508"/>
    <w:rsid w:val="00527A20"/>
    <w:rsid w:val="00555956"/>
    <w:rsid w:val="005630A4"/>
    <w:rsid w:val="00564F1F"/>
    <w:rsid w:val="0057743F"/>
    <w:rsid w:val="00596A59"/>
    <w:rsid w:val="005A6FD1"/>
    <w:rsid w:val="005C1C56"/>
    <w:rsid w:val="005C2F9F"/>
    <w:rsid w:val="005D2458"/>
    <w:rsid w:val="005D48CA"/>
    <w:rsid w:val="005D5E3E"/>
    <w:rsid w:val="005E0978"/>
    <w:rsid w:val="006068FA"/>
    <w:rsid w:val="006160FC"/>
    <w:rsid w:val="00674A48"/>
    <w:rsid w:val="006854D2"/>
    <w:rsid w:val="006878EA"/>
    <w:rsid w:val="006900B8"/>
    <w:rsid w:val="00692C91"/>
    <w:rsid w:val="006A033A"/>
    <w:rsid w:val="006A2123"/>
    <w:rsid w:val="006A6D03"/>
    <w:rsid w:val="006A701A"/>
    <w:rsid w:val="006A798A"/>
    <w:rsid w:val="006B595B"/>
    <w:rsid w:val="006B75D2"/>
    <w:rsid w:val="006D1789"/>
    <w:rsid w:val="006F1B1C"/>
    <w:rsid w:val="007144DB"/>
    <w:rsid w:val="0072526C"/>
    <w:rsid w:val="00734188"/>
    <w:rsid w:val="0073621D"/>
    <w:rsid w:val="00764BDF"/>
    <w:rsid w:val="00767726"/>
    <w:rsid w:val="00776854"/>
    <w:rsid w:val="0077751F"/>
    <w:rsid w:val="00782D86"/>
    <w:rsid w:val="007C3D2F"/>
    <w:rsid w:val="007D0B41"/>
    <w:rsid w:val="007D3B0E"/>
    <w:rsid w:val="007D3DC6"/>
    <w:rsid w:val="007D46B7"/>
    <w:rsid w:val="007E41A2"/>
    <w:rsid w:val="007F0487"/>
    <w:rsid w:val="007F41B4"/>
    <w:rsid w:val="0081039F"/>
    <w:rsid w:val="0082199C"/>
    <w:rsid w:val="00834132"/>
    <w:rsid w:val="008577DE"/>
    <w:rsid w:val="0087029A"/>
    <w:rsid w:val="0087517F"/>
    <w:rsid w:val="00876BA7"/>
    <w:rsid w:val="008777C1"/>
    <w:rsid w:val="0088152D"/>
    <w:rsid w:val="008A1196"/>
    <w:rsid w:val="008B3BF0"/>
    <w:rsid w:val="008C55CF"/>
    <w:rsid w:val="008D6B7F"/>
    <w:rsid w:val="00934677"/>
    <w:rsid w:val="00937594"/>
    <w:rsid w:val="009641DB"/>
    <w:rsid w:val="0098027F"/>
    <w:rsid w:val="00992A7A"/>
    <w:rsid w:val="009F4F07"/>
    <w:rsid w:val="009F5816"/>
    <w:rsid w:val="00A24ED1"/>
    <w:rsid w:val="00A32BC9"/>
    <w:rsid w:val="00A80357"/>
    <w:rsid w:val="00A847CF"/>
    <w:rsid w:val="00A851B1"/>
    <w:rsid w:val="00AC196B"/>
    <w:rsid w:val="00AC2488"/>
    <w:rsid w:val="00AC7E02"/>
    <w:rsid w:val="00AD4A9D"/>
    <w:rsid w:val="00B225B4"/>
    <w:rsid w:val="00B2775E"/>
    <w:rsid w:val="00B33B40"/>
    <w:rsid w:val="00B37BA7"/>
    <w:rsid w:val="00B412CF"/>
    <w:rsid w:val="00B41CDE"/>
    <w:rsid w:val="00B75DD1"/>
    <w:rsid w:val="00B778D0"/>
    <w:rsid w:val="00B81F96"/>
    <w:rsid w:val="00B85F81"/>
    <w:rsid w:val="00B914BD"/>
    <w:rsid w:val="00BB039B"/>
    <w:rsid w:val="00BD50BA"/>
    <w:rsid w:val="00BF5EC0"/>
    <w:rsid w:val="00C17965"/>
    <w:rsid w:val="00C275C0"/>
    <w:rsid w:val="00C3253D"/>
    <w:rsid w:val="00C43F23"/>
    <w:rsid w:val="00C45771"/>
    <w:rsid w:val="00C534E8"/>
    <w:rsid w:val="00C909D8"/>
    <w:rsid w:val="00CA1E65"/>
    <w:rsid w:val="00CC4976"/>
    <w:rsid w:val="00CC7A8D"/>
    <w:rsid w:val="00CD14B8"/>
    <w:rsid w:val="00CE6B68"/>
    <w:rsid w:val="00CF48AE"/>
    <w:rsid w:val="00D01F82"/>
    <w:rsid w:val="00D32D59"/>
    <w:rsid w:val="00D43AE7"/>
    <w:rsid w:val="00D47106"/>
    <w:rsid w:val="00D5665C"/>
    <w:rsid w:val="00D7321E"/>
    <w:rsid w:val="00DA3233"/>
    <w:rsid w:val="00DB0C86"/>
    <w:rsid w:val="00DC3EE1"/>
    <w:rsid w:val="00DC44E0"/>
    <w:rsid w:val="00DC79B3"/>
    <w:rsid w:val="00DE0040"/>
    <w:rsid w:val="00DF61C3"/>
    <w:rsid w:val="00E02E79"/>
    <w:rsid w:val="00E10583"/>
    <w:rsid w:val="00E326CE"/>
    <w:rsid w:val="00E50A12"/>
    <w:rsid w:val="00E873EE"/>
    <w:rsid w:val="00EC625C"/>
    <w:rsid w:val="00EC701F"/>
    <w:rsid w:val="00ED4DC2"/>
    <w:rsid w:val="00EF4496"/>
    <w:rsid w:val="00EF78BF"/>
    <w:rsid w:val="00F026AC"/>
    <w:rsid w:val="00F10765"/>
    <w:rsid w:val="00F10BDA"/>
    <w:rsid w:val="00F153FE"/>
    <w:rsid w:val="00F301F4"/>
    <w:rsid w:val="00F4525B"/>
    <w:rsid w:val="00F4608C"/>
    <w:rsid w:val="00F50B99"/>
    <w:rsid w:val="00F55BDD"/>
    <w:rsid w:val="00F67B0B"/>
    <w:rsid w:val="00F82E05"/>
    <w:rsid w:val="00F94FEC"/>
    <w:rsid w:val="00FB7F90"/>
    <w:rsid w:val="00FD1AEF"/>
    <w:rsid w:val="00FE3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3098"/>
  <w15:chartTrackingRefBased/>
  <w15:docId w15:val="{8ADA27E0-0546-447B-9232-9DBE7863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275C0"/>
    <w:pPr>
      <w:keepNext/>
      <w:spacing w:after="0" w:line="240" w:lineRule="auto"/>
      <w:ind w:right="23"/>
      <w:outlineLvl w:val="0"/>
    </w:pPr>
    <w:rPr>
      <w:rFonts w:ascii="Arial" w:hAnsi="Arial" w:cs="Arial"/>
      <w:kern w:val="36"/>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5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53D"/>
    <w:rPr>
      <w:rFonts w:ascii="Segoe UI" w:hAnsi="Segoe UI" w:cs="Segoe UI"/>
      <w:sz w:val="18"/>
      <w:szCs w:val="18"/>
    </w:rPr>
  </w:style>
  <w:style w:type="character" w:styleId="Lienhypertexte">
    <w:name w:val="Hyperlink"/>
    <w:basedOn w:val="Policepardfaut"/>
    <w:uiPriority w:val="99"/>
    <w:unhideWhenUsed/>
    <w:rsid w:val="00E10583"/>
    <w:rPr>
      <w:color w:val="0000FF"/>
      <w:u w:val="single"/>
    </w:rPr>
  </w:style>
  <w:style w:type="paragraph" w:customStyle="1" w:styleId="Default">
    <w:name w:val="Default"/>
    <w:uiPriority w:val="99"/>
    <w:rsid w:val="00E10583"/>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C275C0"/>
    <w:rPr>
      <w:rFonts w:ascii="Arial" w:hAnsi="Arial" w:cs="Arial"/>
      <w:kern w:val="36"/>
      <w:sz w:val="36"/>
      <w:szCs w:val="36"/>
      <w:lang w:eastAsia="fr-FR"/>
    </w:rPr>
  </w:style>
  <w:style w:type="paragraph" w:styleId="Paragraphedeliste">
    <w:name w:val="List Paragraph"/>
    <w:basedOn w:val="Normal"/>
    <w:uiPriority w:val="34"/>
    <w:qFormat/>
    <w:rsid w:val="007E41A2"/>
    <w:pPr>
      <w:spacing w:after="0" w:line="276" w:lineRule="auto"/>
      <w:ind w:left="720"/>
      <w:contextualSpacing/>
      <w:jc w:val="both"/>
    </w:pPr>
    <w:rPr>
      <w:rFonts w:ascii="Arial" w:hAnsi="Arial" w:cs="Arial"/>
      <w:sz w:val="20"/>
      <w:lang w:eastAsia="fr-FR"/>
    </w:rPr>
  </w:style>
  <w:style w:type="character" w:styleId="Marquedecommentaire">
    <w:name w:val="annotation reference"/>
    <w:basedOn w:val="Policepardfaut"/>
    <w:uiPriority w:val="99"/>
    <w:semiHidden/>
    <w:unhideWhenUsed/>
    <w:rsid w:val="00764BDF"/>
    <w:rPr>
      <w:sz w:val="16"/>
      <w:szCs w:val="16"/>
    </w:rPr>
  </w:style>
  <w:style w:type="paragraph" w:styleId="Commentaire">
    <w:name w:val="annotation text"/>
    <w:basedOn w:val="Normal"/>
    <w:link w:val="CommentaireCar"/>
    <w:uiPriority w:val="99"/>
    <w:semiHidden/>
    <w:unhideWhenUsed/>
    <w:rsid w:val="00764BDF"/>
    <w:pPr>
      <w:spacing w:line="240" w:lineRule="auto"/>
    </w:pPr>
    <w:rPr>
      <w:sz w:val="20"/>
      <w:szCs w:val="20"/>
    </w:rPr>
  </w:style>
  <w:style w:type="character" w:customStyle="1" w:styleId="CommentaireCar">
    <w:name w:val="Commentaire Car"/>
    <w:basedOn w:val="Policepardfaut"/>
    <w:link w:val="Commentaire"/>
    <w:uiPriority w:val="99"/>
    <w:semiHidden/>
    <w:rsid w:val="00764BDF"/>
    <w:rPr>
      <w:sz w:val="20"/>
      <w:szCs w:val="20"/>
    </w:rPr>
  </w:style>
  <w:style w:type="paragraph" w:styleId="NormalWeb">
    <w:name w:val="Normal (Web)"/>
    <w:basedOn w:val="Normal"/>
    <w:uiPriority w:val="99"/>
    <w:unhideWhenUsed/>
    <w:rsid w:val="00764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0B7CE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B7CE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6285">
      <w:bodyDiv w:val="1"/>
      <w:marLeft w:val="0"/>
      <w:marRight w:val="0"/>
      <w:marTop w:val="0"/>
      <w:marBottom w:val="0"/>
      <w:divBdr>
        <w:top w:val="none" w:sz="0" w:space="0" w:color="auto"/>
        <w:left w:val="none" w:sz="0" w:space="0" w:color="auto"/>
        <w:bottom w:val="none" w:sz="0" w:space="0" w:color="auto"/>
        <w:right w:val="none" w:sz="0" w:space="0" w:color="auto"/>
      </w:divBdr>
    </w:div>
    <w:div w:id="1278295416">
      <w:bodyDiv w:val="1"/>
      <w:marLeft w:val="0"/>
      <w:marRight w:val="0"/>
      <w:marTop w:val="0"/>
      <w:marBottom w:val="0"/>
      <w:divBdr>
        <w:top w:val="none" w:sz="0" w:space="0" w:color="auto"/>
        <w:left w:val="none" w:sz="0" w:space="0" w:color="auto"/>
        <w:bottom w:val="none" w:sz="0" w:space="0" w:color="auto"/>
        <w:right w:val="none" w:sz="0" w:space="0" w:color="auto"/>
      </w:divBdr>
    </w:div>
    <w:div w:id="1330327562">
      <w:bodyDiv w:val="1"/>
      <w:marLeft w:val="0"/>
      <w:marRight w:val="0"/>
      <w:marTop w:val="0"/>
      <w:marBottom w:val="0"/>
      <w:divBdr>
        <w:top w:val="none" w:sz="0" w:space="0" w:color="auto"/>
        <w:left w:val="none" w:sz="0" w:space="0" w:color="auto"/>
        <w:bottom w:val="none" w:sz="0" w:space="0" w:color="auto"/>
        <w:right w:val="none" w:sz="0" w:space="0" w:color="auto"/>
      </w:divBdr>
    </w:div>
    <w:div w:id="15097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azars.com&amp;d=DwMFaQ&amp;c=9wxE0DgWbPxd1HCzjwN8Eaww1--ViDajIU4RXCxgSXE&amp;r=owb2RKEAEtRmr_ynV7s1LTG_oSEWOOd-nokles33zDBl4p6pnvXn7qsLuj4_2NM4&amp;m=A0ZLCt4IUxpHULa3zNSV00RFeu0EQwzx2A1XVsq3eVo&amp;s=kvTCU_hwcmgIKdPqoh5HlS7vURiV57XCagZv_7tlBVk&amp;e=" TargetMode="External"/><Relationship Id="rId3" Type="http://schemas.openxmlformats.org/officeDocument/2006/relationships/settings" Target="settings.xml"/><Relationship Id="rId7" Type="http://schemas.openxmlformats.org/officeDocument/2006/relationships/hyperlink" Target="mailto:marie@rumeurpubliqu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lheritier@mazars.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rldefense.proofpoint.com/v2/url?u=https-3A__twitter.com_mazarsgroup&amp;d=DwMFaQ&amp;c=9wxE0DgWbPxd1HCzjwN8Eaww1--ViDajIU4RXCxgSXE&amp;r=owb2RKEAEtRmr_ynV7s1LTG_oSEWOOd-nokles33zDBl4p6pnvXn7qsLuj4_2NM4&amp;m=A0ZLCt4IUxpHULa3zNSV00RFeu0EQwzx2A1XVsq3eVo&amp;s=J5K3bhSeRa4cyqbpgpUIKfnbvRzd1yOEbnrDNYbvNrc&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linkedin.com_company_mazars&amp;d=DwMFaQ&amp;c=9wxE0DgWbPxd1HCzjwN8Eaww1--ViDajIU4RXCxgSXE&amp;r=owb2RKEAEtRmr_ynV7s1LTG_oSEWOOd-nokles33zDBl4p6pnvXn7qsLuj4_2NM4&amp;m=A0ZLCt4IUxpHULa3zNSV00RFeu0EQwzx2A1XVsq3eVo&amp;s=WPKyCjVobvgrvA6Ucooou4VVmHV7rTiGFZjljsVMvo4&am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8000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Marlène</dc:creator>
  <cp:keywords/>
  <dc:description/>
  <cp:lastModifiedBy>ANGELI Aurore</cp:lastModifiedBy>
  <cp:revision>3</cp:revision>
  <cp:lastPrinted>2019-04-02T08:37:00Z</cp:lastPrinted>
  <dcterms:created xsi:type="dcterms:W3CDTF">2019-04-10T10:30:00Z</dcterms:created>
  <dcterms:modified xsi:type="dcterms:W3CDTF">2019-04-11T15:00:00Z</dcterms:modified>
</cp:coreProperties>
</file>