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F2A1E" w14:textId="5BFF9B09" w:rsidR="00730BAE" w:rsidRDefault="00730BAE" w:rsidP="00F42D42">
      <w:pPr>
        <w:spacing w:after="0" w:line="240" w:lineRule="auto"/>
        <w:rPr>
          <w:rFonts w:ascii="Arial" w:eastAsia="Calibri" w:hAnsi="Arial" w:cs="Arial"/>
          <w:b/>
          <w:color w:val="auto"/>
        </w:rPr>
      </w:pPr>
    </w:p>
    <w:p w14:paraId="77EB95D0" w14:textId="77777777" w:rsidR="00730BAE" w:rsidRPr="00EF0C70" w:rsidRDefault="00730BAE" w:rsidP="00F42D42">
      <w:pPr>
        <w:spacing w:after="0" w:line="240" w:lineRule="auto"/>
        <w:rPr>
          <w:rFonts w:ascii="Arial" w:eastAsia="Calibri" w:hAnsi="Arial" w:cs="Arial"/>
          <w:b/>
          <w:color w:val="auto"/>
        </w:rPr>
      </w:pPr>
    </w:p>
    <w:p w14:paraId="33500C3F" w14:textId="77777777" w:rsidR="00095562" w:rsidRDefault="00095562" w:rsidP="00F42D42">
      <w:pPr>
        <w:spacing w:after="0" w:line="240" w:lineRule="auto"/>
        <w:rPr>
          <w:rFonts w:ascii="Arial" w:eastAsia="Calibri" w:hAnsi="Arial" w:cs="Arial"/>
        </w:rPr>
      </w:pPr>
    </w:p>
    <w:p w14:paraId="364DB9DE" w14:textId="51DB0459" w:rsidR="00CE5199" w:rsidRPr="006D15E9" w:rsidRDefault="00900CAA" w:rsidP="001F0A93">
      <w:pPr>
        <w:spacing w:after="0" w:line="240" w:lineRule="auto"/>
        <w:jc w:val="center"/>
        <w:rPr>
          <w:rFonts w:ascii="Arial" w:hAnsi="Arial"/>
          <w:b/>
          <w:color w:val="595959"/>
          <w:sz w:val="28"/>
          <w:szCs w:val="28"/>
        </w:rPr>
      </w:pPr>
      <w:r w:rsidRPr="006D15E9">
        <w:rPr>
          <w:rFonts w:ascii="Arial" w:hAnsi="Arial"/>
          <w:b/>
          <w:color w:val="595959"/>
          <w:sz w:val="28"/>
          <w:szCs w:val="28"/>
        </w:rPr>
        <w:t>Le financement participatif dépasse le milliard malgré la crise</w:t>
      </w:r>
    </w:p>
    <w:p w14:paraId="5A42B1CF" w14:textId="4BAC261E" w:rsidR="00900CAA" w:rsidRPr="006D15E9" w:rsidRDefault="00900CAA" w:rsidP="001F0A93">
      <w:pPr>
        <w:spacing w:after="0" w:line="240" w:lineRule="auto"/>
        <w:jc w:val="center"/>
        <w:rPr>
          <w:rFonts w:ascii="Arial" w:hAnsi="Arial"/>
          <w:b/>
          <w:color w:val="595959"/>
          <w:sz w:val="28"/>
          <w:szCs w:val="28"/>
        </w:rPr>
      </w:pPr>
    </w:p>
    <w:p w14:paraId="73B72578" w14:textId="77777777" w:rsidR="00900CAA" w:rsidRPr="006D15E9" w:rsidRDefault="00900CAA" w:rsidP="00900CAA">
      <w:pPr>
        <w:spacing w:after="0" w:line="240" w:lineRule="auto"/>
        <w:jc w:val="center"/>
        <w:rPr>
          <w:rFonts w:ascii="Arial" w:hAnsi="Arial"/>
          <w:b/>
          <w:i/>
          <w:iCs/>
          <w:color w:val="595959"/>
          <w:sz w:val="24"/>
          <w:szCs w:val="24"/>
        </w:rPr>
      </w:pPr>
      <w:r w:rsidRPr="006D15E9">
        <w:rPr>
          <w:rFonts w:ascii="Arial" w:hAnsi="Arial"/>
          <w:b/>
          <w:i/>
          <w:iCs/>
          <w:color w:val="595959"/>
          <w:sz w:val="24"/>
          <w:szCs w:val="24"/>
        </w:rPr>
        <w:t>Baromètre du crowdfunding en France en 2020</w:t>
      </w:r>
    </w:p>
    <w:p w14:paraId="263F3786" w14:textId="5425508C" w:rsidR="00900CAA" w:rsidRPr="006D15E9" w:rsidRDefault="00900CAA" w:rsidP="00900CAA">
      <w:pPr>
        <w:spacing w:after="0" w:line="240" w:lineRule="auto"/>
        <w:jc w:val="center"/>
        <w:rPr>
          <w:rFonts w:ascii="Arial" w:hAnsi="Arial"/>
          <w:b/>
          <w:i/>
          <w:iCs/>
          <w:color w:val="595959"/>
          <w:sz w:val="24"/>
          <w:szCs w:val="24"/>
        </w:rPr>
      </w:pPr>
      <w:r w:rsidRPr="006D15E9">
        <w:rPr>
          <w:rFonts w:ascii="Arial" w:hAnsi="Arial"/>
          <w:b/>
          <w:i/>
          <w:iCs/>
          <w:color w:val="595959"/>
          <w:sz w:val="24"/>
          <w:szCs w:val="24"/>
        </w:rPr>
        <w:t>Mazars / Financement Participatif France</w:t>
      </w:r>
    </w:p>
    <w:p w14:paraId="3785AB99" w14:textId="77777777" w:rsidR="00095562" w:rsidRDefault="00095562" w:rsidP="00F42D42">
      <w:pPr>
        <w:spacing w:after="0" w:line="240" w:lineRule="auto"/>
        <w:jc w:val="center"/>
        <w:rPr>
          <w:rFonts w:ascii="Arial" w:eastAsia="Calibri" w:hAnsi="Arial" w:cs="Arial"/>
          <w:b/>
          <w:sz w:val="28"/>
          <w:szCs w:val="28"/>
        </w:rPr>
      </w:pPr>
    </w:p>
    <w:p w14:paraId="2616C9A7" w14:textId="004A738A" w:rsidR="00900CAA" w:rsidRPr="00900CAA" w:rsidRDefault="00900CAA" w:rsidP="009A4DF3">
      <w:pPr>
        <w:pStyle w:val="Paragraphedeliste"/>
        <w:numPr>
          <w:ilvl w:val="0"/>
          <w:numId w:val="17"/>
        </w:numPr>
        <w:spacing w:after="0" w:line="240" w:lineRule="auto"/>
        <w:jc w:val="both"/>
        <w:rPr>
          <w:rFonts w:ascii="Arial" w:eastAsia="Calibri" w:hAnsi="Arial" w:cs="Arial"/>
          <w:iCs/>
          <w:sz w:val="24"/>
          <w:szCs w:val="24"/>
        </w:rPr>
      </w:pPr>
      <w:r w:rsidRPr="00900CAA">
        <w:rPr>
          <w:rFonts w:ascii="Arial" w:eastAsia="Calibri" w:hAnsi="Arial" w:cs="Arial"/>
          <w:iCs/>
          <w:sz w:val="24"/>
          <w:szCs w:val="24"/>
        </w:rPr>
        <w:t>La collecte en crowdfunding dépasse le milliard en 2020 : + 62% de fonds collectés.</w:t>
      </w:r>
    </w:p>
    <w:p w14:paraId="5342CAC2" w14:textId="67D2282E" w:rsidR="00900CAA" w:rsidRPr="00900CAA" w:rsidRDefault="00900CAA" w:rsidP="009A4DF3">
      <w:pPr>
        <w:pStyle w:val="Paragraphedeliste"/>
        <w:numPr>
          <w:ilvl w:val="0"/>
          <w:numId w:val="17"/>
        </w:numPr>
        <w:spacing w:after="0" w:line="240" w:lineRule="auto"/>
        <w:jc w:val="both"/>
        <w:rPr>
          <w:rFonts w:ascii="Arial" w:eastAsia="Calibri" w:hAnsi="Arial" w:cs="Arial"/>
          <w:iCs/>
          <w:sz w:val="24"/>
          <w:szCs w:val="24"/>
        </w:rPr>
      </w:pPr>
      <w:r w:rsidRPr="00900CAA">
        <w:rPr>
          <w:rFonts w:ascii="Arial" w:eastAsia="Calibri" w:hAnsi="Arial" w:cs="Arial"/>
          <w:iCs/>
          <w:sz w:val="24"/>
          <w:szCs w:val="24"/>
        </w:rPr>
        <w:t xml:space="preserve">Dans un contexte de crise, les campagnes en don sans récompense pour soutenir les initiatives solidaires ont explosé : + 459%. </w:t>
      </w:r>
    </w:p>
    <w:p w14:paraId="77D77ADD" w14:textId="67F9481E" w:rsidR="00900CAA" w:rsidRDefault="00900CAA" w:rsidP="009A4DF3">
      <w:pPr>
        <w:pStyle w:val="Paragraphedeliste"/>
        <w:numPr>
          <w:ilvl w:val="0"/>
          <w:numId w:val="17"/>
        </w:numPr>
        <w:spacing w:after="0" w:line="240" w:lineRule="auto"/>
        <w:jc w:val="both"/>
        <w:rPr>
          <w:rFonts w:ascii="Arial" w:eastAsia="Calibri" w:hAnsi="Arial" w:cs="Arial"/>
          <w:iCs/>
          <w:sz w:val="24"/>
          <w:szCs w:val="24"/>
        </w:rPr>
      </w:pPr>
      <w:r w:rsidRPr="00900CAA">
        <w:rPr>
          <w:rFonts w:ascii="Arial" w:eastAsia="Calibri" w:hAnsi="Arial" w:cs="Arial"/>
          <w:iCs/>
          <w:sz w:val="24"/>
          <w:szCs w:val="24"/>
        </w:rPr>
        <w:t>91% des plateformes estiment que la période de crise que nous traversons a permis au financement participatif de démontrer la pertinence de son modèle : transparence, proximité, digital.</w:t>
      </w:r>
    </w:p>
    <w:p w14:paraId="11E8999C" w14:textId="77777777" w:rsidR="00730BAE" w:rsidRDefault="00730BAE" w:rsidP="00730BAE">
      <w:pPr>
        <w:spacing w:after="0" w:line="240" w:lineRule="auto"/>
        <w:jc w:val="both"/>
        <w:rPr>
          <w:rFonts w:ascii="Arial" w:eastAsia="Calibri" w:hAnsi="Arial" w:cs="Arial"/>
          <w:iCs/>
          <w:sz w:val="24"/>
          <w:szCs w:val="24"/>
        </w:rPr>
      </w:pPr>
    </w:p>
    <w:p w14:paraId="458C3C81" w14:textId="26BFBE49" w:rsidR="00730BAE" w:rsidRDefault="00730BAE" w:rsidP="00730BAE">
      <w:pPr>
        <w:spacing w:after="0" w:line="240" w:lineRule="auto"/>
        <w:jc w:val="both"/>
        <w:rPr>
          <w:rFonts w:ascii="Arial" w:eastAsia="Calibri" w:hAnsi="Arial" w:cs="Arial"/>
          <w:iCs/>
          <w:sz w:val="24"/>
          <w:szCs w:val="24"/>
        </w:rPr>
      </w:pPr>
    </w:p>
    <w:p w14:paraId="6E06574C" w14:textId="778EDAD7" w:rsidR="00900CAA" w:rsidRPr="00900CAA" w:rsidRDefault="00900CAA" w:rsidP="00900CAA">
      <w:pPr>
        <w:spacing w:after="0" w:line="240" w:lineRule="auto"/>
        <w:jc w:val="both"/>
        <w:rPr>
          <w:rFonts w:ascii="Arial" w:hAnsi="Arial"/>
        </w:rPr>
      </w:pPr>
      <w:r>
        <w:rPr>
          <w:rFonts w:ascii="Arial" w:hAnsi="Arial"/>
          <w:b/>
        </w:rPr>
        <w:t>10</w:t>
      </w:r>
      <w:r w:rsidR="00026D18" w:rsidRPr="00CD7E83">
        <w:rPr>
          <w:rFonts w:ascii="Arial" w:hAnsi="Arial"/>
          <w:b/>
        </w:rPr>
        <w:t xml:space="preserve"> février</w:t>
      </w:r>
      <w:r w:rsidR="009E50C4" w:rsidRPr="00CD7E83">
        <w:rPr>
          <w:rFonts w:ascii="Arial" w:hAnsi="Arial"/>
          <w:b/>
        </w:rPr>
        <w:t> 2021, Paris</w:t>
      </w:r>
      <w:r>
        <w:rPr>
          <w:rFonts w:ascii="Arial" w:hAnsi="Arial"/>
          <w:b/>
        </w:rPr>
        <w:t xml:space="preserve"> –</w:t>
      </w:r>
      <w:r w:rsidR="009E50C4" w:rsidRPr="00CD7E83">
        <w:rPr>
          <w:rFonts w:ascii="Arial" w:hAnsi="Arial"/>
          <w:b/>
        </w:rPr>
        <w:t xml:space="preserve"> </w:t>
      </w:r>
      <w:r w:rsidRPr="00900CAA">
        <w:rPr>
          <w:rFonts w:ascii="Arial" w:hAnsi="Arial"/>
        </w:rPr>
        <w:t xml:space="preserve">Pour la </w:t>
      </w:r>
      <w:r>
        <w:rPr>
          <w:rFonts w:ascii="Arial" w:hAnsi="Arial"/>
        </w:rPr>
        <w:t xml:space="preserve">deuxième </w:t>
      </w:r>
      <w:r w:rsidRPr="00900CAA">
        <w:rPr>
          <w:rFonts w:ascii="Arial" w:hAnsi="Arial"/>
        </w:rPr>
        <w:t>année consécutive, Mazars et l’association Financement Participatif France (FPF) publient le baromètre de référence du financement participatif en France. Ce baromètre se fait l’écho de la vitalité et de la diversité des modes d’intervention du crowdfunding.</w:t>
      </w:r>
    </w:p>
    <w:p w14:paraId="09D5BB6C" w14:textId="77777777" w:rsidR="00900CAA" w:rsidRPr="00900CAA" w:rsidRDefault="00900CAA" w:rsidP="00900CAA">
      <w:pPr>
        <w:spacing w:after="0" w:line="240" w:lineRule="auto"/>
        <w:jc w:val="both"/>
        <w:rPr>
          <w:rFonts w:ascii="Arial" w:hAnsi="Arial"/>
          <w:b/>
          <w:bCs/>
        </w:rPr>
      </w:pPr>
    </w:p>
    <w:p w14:paraId="6783D4A1" w14:textId="256456CC" w:rsidR="00900CAA" w:rsidRDefault="00900CAA" w:rsidP="00900CAA">
      <w:pPr>
        <w:spacing w:after="0" w:line="240" w:lineRule="auto"/>
        <w:jc w:val="both"/>
        <w:rPr>
          <w:rFonts w:ascii="Arial" w:hAnsi="Arial"/>
          <w:b/>
          <w:bCs/>
        </w:rPr>
      </w:pPr>
      <w:r w:rsidRPr="00900CAA">
        <w:rPr>
          <w:rFonts w:ascii="Arial" w:hAnsi="Arial"/>
          <w:b/>
          <w:bCs/>
        </w:rPr>
        <w:t>La collecte dépasse le milliard en 2020</w:t>
      </w:r>
    </w:p>
    <w:p w14:paraId="15629BB7" w14:textId="77777777" w:rsidR="00E10678" w:rsidRPr="00900CAA" w:rsidRDefault="00E10678" w:rsidP="00900CAA">
      <w:pPr>
        <w:spacing w:after="0" w:line="240" w:lineRule="auto"/>
        <w:jc w:val="both"/>
        <w:rPr>
          <w:rFonts w:ascii="Arial" w:hAnsi="Arial"/>
          <w:b/>
          <w:bCs/>
        </w:rPr>
      </w:pPr>
    </w:p>
    <w:p w14:paraId="47811FBF" w14:textId="3C166F58" w:rsidR="00900CAA" w:rsidRPr="00900CAA" w:rsidRDefault="00900CAA" w:rsidP="00900CAA">
      <w:pPr>
        <w:spacing w:after="0" w:line="240" w:lineRule="auto"/>
        <w:jc w:val="both"/>
        <w:rPr>
          <w:rFonts w:ascii="Arial" w:hAnsi="Arial"/>
        </w:rPr>
      </w:pPr>
      <w:r w:rsidRPr="00900CAA">
        <w:rPr>
          <w:rFonts w:ascii="Arial" w:hAnsi="Arial"/>
          <w:noProof/>
        </w:rPr>
        <w:drawing>
          <wp:anchor distT="0" distB="0" distL="114300" distR="114300" simplePos="0" relativeHeight="251662336" behindDoc="1" locked="0" layoutInCell="1" allowOverlap="1" wp14:anchorId="11C14DC2" wp14:editId="433352FD">
            <wp:simplePos x="0" y="0"/>
            <wp:positionH relativeFrom="column">
              <wp:posOffset>-61595</wp:posOffset>
            </wp:positionH>
            <wp:positionV relativeFrom="paragraph">
              <wp:posOffset>440690</wp:posOffset>
            </wp:positionV>
            <wp:extent cx="5760720" cy="1139825"/>
            <wp:effectExtent l="0" t="0" r="0" b="3175"/>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1">
                      <a:extLst>
                        <a:ext uri="{28A0092B-C50C-407E-A947-70E740481C1C}">
                          <a14:useLocalDpi xmlns:a14="http://schemas.microsoft.com/office/drawing/2010/main" val="0"/>
                        </a:ext>
                      </a:extLst>
                    </a:blip>
                    <a:srcRect l="62997" t="22638" r="5257" b="60156"/>
                    <a:stretch>
                      <a:fillRect/>
                    </a:stretch>
                  </pic:blipFill>
                  <pic:spPr bwMode="auto">
                    <a:xfrm>
                      <a:off x="0" y="0"/>
                      <a:ext cx="5760720" cy="1139825"/>
                    </a:xfrm>
                    <a:prstGeom prst="rect">
                      <a:avLst/>
                    </a:prstGeom>
                    <a:noFill/>
                  </pic:spPr>
                </pic:pic>
              </a:graphicData>
            </a:graphic>
            <wp14:sizeRelH relativeFrom="page">
              <wp14:pctWidth>0</wp14:pctWidth>
            </wp14:sizeRelH>
            <wp14:sizeRelV relativeFrom="page">
              <wp14:pctHeight>0</wp14:pctHeight>
            </wp14:sizeRelV>
          </wp:anchor>
        </w:drawing>
      </w:r>
      <w:r w:rsidRPr="00900CAA">
        <w:rPr>
          <w:rFonts w:ascii="Arial" w:hAnsi="Arial"/>
        </w:rPr>
        <w:t xml:space="preserve">En 2020, </w:t>
      </w:r>
      <w:r w:rsidRPr="00900CAA">
        <w:rPr>
          <w:rFonts w:ascii="Arial" w:hAnsi="Arial"/>
          <w:b/>
          <w:bCs/>
        </w:rPr>
        <w:t>1,02 milliard d’euros</w:t>
      </w:r>
      <w:r w:rsidRPr="00900CAA">
        <w:rPr>
          <w:rFonts w:ascii="Arial" w:hAnsi="Arial"/>
        </w:rPr>
        <w:t xml:space="preserve"> a été collecté sur les plateformes de financement participatif, soit une </w:t>
      </w:r>
      <w:r w:rsidRPr="00900CAA">
        <w:rPr>
          <w:rFonts w:ascii="Arial" w:hAnsi="Arial"/>
          <w:b/>
          <w:bCs/>
        </w:rPr>
        <w:t>croissance de 62%</w:t>
      </w:r>
      <w:r w:rsidRPr="00900CAA">
        <w:rPr>
          <w:rFonts w:ascii="Arial" w:hAnsi="Arial"/>
        </w:rPr>
        <w:t xml:space="preserve"> par rapport à l’année 2019.</w:t>
      </w:r>
    </w:p>
    <w:p w14:paraId="3FABB482" w14:textId="77777777" w:rsidR="00900CAA" w:rsidRPr="00900CAA" w:rsidRDefault="00900CAA" w:rsidP="00900CAA">
      <w:pPr>
        <w:spacing w:after="0" w:line="240" w:lineRule="auto"/>
        <w:jc w:val="both"/>
        <w:rPr>
          <w:rFonts w:ascii="Arial" w:hAnsi="Arial"/>
        </w:rPr>
      </w:pPr>
    </w:p>
    <w:p w14:paraId="15BF1D00" w14:textId="77777777" w:rsidR="00DA5EEE" w:rsidRDefault="00DA5EEE" w:rsidP="00900CAA">
      <w:pPr>
        <w:spacing w:after="0" w:line="240" w:lineRule="auto"/>
        <w:jc w:val="both"/>
        <w:rPr>
          <w:rFonts w:ascii="Arial" w:hAnsi="Arial"/>
        </w:rPr>
      </w:pPr>
    </w:p>
    <w:p w14:paraId="47AEF3D9" w14:textId="3311DD4B" w:rsidR="00900CAA" w:rsidRDefault="00900CAA" w:rsidP="00900CAA">
      <w:pPr>
        <w:spacing w:after="0" w:line="240" w:lineRule="auto"/>
        <w:jc w:val="both"/>
        <w:rPr>
          <w:rFonts w:ascii="Arial" w:hAnsi="Arial"/>
        </w:rPr>
      </w:pPr>
      <w:r w:rsidRPr="00900CAA">
        <w:rPr>
          <w:rFonts w:ascii="Arial" w:hAnsi="Arial"/>
        </w:rPr>
        <w:t xml:space="preserve">Les plateformes de crowdfunding ont su se mobiliser pendant la crise pour répondre aux besoins des acteurs économiques, avec </w:t>
      </w:r>
      <w:r w:rsidRPr="00900CAA">
        <w:rPr>
          <w:rFonts w:ascii="Arial" w:hAnsi="Arial"/>
          <w:b/>
          <w:bCs/>
        </w:rPr>
        <w:t>115 616 projets et entreprises financés</w:t>
      </w:r>
      <w:r w:rsidR="00DA5EEE">
        <w:rPr>
          <w:rFonts w:ascii="Arial" w:hAnsi="Arial"/>
          <w:b/>
          <w:bCs/>
        </w:rPr>
        <w:t> </w:t>
      </w:r>
      <w:r w:rsidR="00DA5EEE">
        <w:rPr>
          <w:rFonts w:ascii="Arial" w:hAnsi="Arial"/>
        </w:rPr>
        <w:t>:</w:t>
      </w:r>
    </w:p>
    <w:p w14:paraId="1F51370B" w14:textId="09B96915" w:rsidR="00DA5EEE" w:rsidRDefault="00DA5EEE" w:rsidP="00900CAA">
      <w:pPr>
        <w:spacing w:after="0" w:line="240" w:lineRule="auto"/>
        <w:jc w:val="both"/>
        <w:rPr>
          <w:rFonts w:ascii="Arial" w:hAnsi="Arial"/>
        </w:rPr>
      </w:pPr>
    </w:p>
    <w:p w14:paraId="2900F411" w14:textId="4B0B7AF4" w:rsidR="00DA5EEE" w:rsidRDefault="00DA5EEE" w:rsidP="00DA5EEE">
      <w:pPr>
        <w:pStyle w:val="Paragraphedeliste"/>
        <w:numPr>
          <w:ilvl w:val="0"/>
          <w:numId w:val="22"/>
        </w:numPr>
        <w:spacing w:after="0" w:line="240" w:lineRule="auto"/>
        <w:jc w:val="both"/>
        <w:rPr>
          <w:rFonts w:ascii="Arial" w:hAnsi="Arial"/>
        </w:rPr>
      </w:pPr>
      <w:r w:rsidRPr="00DA5EEE">
        <w:rPr>
          <w:rFonts w:ascii="Arial" w:hAnsi="Arial"/>
          <w:b/>
          <w:bCs/>
        </w:rPr>
        <w:t>54 162</w:t>
      </w:r>
      <w:r>
        <w:rPr>
          <w:rFonts w:ascii="Arial" w:hAnsi="Arial"/>
        </w:rPr>
        <w:t xml:space="preserve"> projets de particuliers</w:t>
      </w:r>
    </w:p>
    <w:p w14:paraId="1278B0F2" w14:textId="7939035E" w:rsidR="00DA5EEE" w:rsidRDefault="00DA5EEE" w:rsidP="00DA5EEE">
      <w:pPr>
        <w:pStyle w:val="Paragraphedeliste"/>
        <w:numPr>
          <w:ilvl w:val="0"/>
          <w:numId w:val="22"/>
        </w:numPr>
        <w:spacing w:after="0" w:line="240" w:lineRule="auto"/>
        <w:jc w:val="both"/>
        <w:rPr>
          <w:rFonts w:ascii="Arial" w:hAnsi="Arial"/>
        </w:rPr>
      </w:pPr>
      <w:r w:rsidRPr="00DA5EEE">
        <w:rPr>
          <w:rFonts w:ascii="Arial" w:hAnsi="Arial"/>
          <w:b/>
          <w:bCs/>
        </w:rPr>
        <w:t>43 202</w:t>
      </w:r>
      <w:r>
        <w:rPr>
          <w:rFonts w:ascii="Arial" w:hAnsi="Arial"/>
        </w:rPr>
        <w:t xml:space="preserve"> projets d’acteurs de l’Economie Sociale et Solidaire (ESS)</w:t>
      </w:r>
    </w:p>
    <w:p w14:paraId="754CB075" w14:textId="02D99C42" w:rsidR="00DA5EEE" w:rsidRDefault="00DA5EEE" w:rsidP="00DA5EEE">
      <w:pPr>
        <w:pStyle w:val="Paragraphedeliste"/>
        <w:numPr>
          <w:ilvl w:val="0"/>
          <w:numId w:val="22"/>
        </w:numPr>
        <w:spacing w:after="0" w:line="240" w:lineRule="auto"/>
        <w:jc w:val="both"/>
        <w:rPr>
          <w:rFonts w:ascii="Arial" w:hAnsi="Arial"/>
        </w:rPr>
      </w:pPr>
      <w:r w:rsidRPr="00DA5EEE">
        <w:rPr>
          <w:rFonts w:ascii="Arial" w:hAnsi="Arial"/>
          <w:b/>
          <w:bCs/>
        </w:rPr>
        <w:t>13 796</w:t>
      </w:r>
      <w:r w:rsidRPr="00DA5EEE">
        <w:rPr>
          <w:rFonts w:ascii="Arial" w:hAnsi="Arial"/>
        </w:rPr>
        <w:t xml:space="preserve"> projets</w:t>
      </w:r>
      <w:r>
        <w:rPr>
          <w:rFonts w:ascii="Arial" w:hAnsi="Arial"/>
        </w:rPr>
        <w:t xml:space="preserve"> de TPE / PME / ETI</w:t>
      </w:r>
    </w:p>
    <w:p w14:paraId="714C3F41" w14:textId="4BC63A55" w:rsidR="00DA5EEE" w:rsidRDefault="00DA5EEE" w:rsidP="00DA5EEE">
      <w:pPr>
        <w:pStyle w:val="Paragraphedeliste"/>
        <w:numPr>
          <w:ilvl w:val="0"/>
          <w:numId w:val="22"/>
        </w:numPr>
        <w:spacing w:after="0" w:line="240" w:lineRule="auto"/>
        <w:jc w:val="both"/>
        <w:rPr>
          <w:rFonts w:ascii="Arial" w:hAnsi="Arial"/>
        </w:rPr>
      </w:pPr>
      <w:r w:rsidRPr="00DA5EEE">
        <w:rPr>
          <w:rFonts w:ascii="Arial" w:hAnsi="Arial"/>
          <w:b/>
          <w:bCs/>
        </w:rPr>
        <w:t>2 950</w:t>
      </w:r>
      <w:r>
        <w:rPr>
          <w:rFonts w:ascii="Arial" w:hAnsi="Arial"/>
        </w:rPr>
        <w:t xml:space="preserve"> projets de start-ups</w:t>
      </w:r>
    </w:p>
    <w:p w14:paraId="0EB89C0F" w14:textId="76A7137D" w:rsidR="00DA5EEE" w:rsidRDefault="00DA5EEE" w:rsidP="00DA5EEE">
      <w:pPr>
        <w:pStyle w:val="Paragraphedeliste"/>
        <w:numPr>
          <w:ilvl w:val="0"/>
          <w:numId w:val="22"/>
        </w:numPr>
        <w:spacing w:after="0" w:line="240" w:lineRule="auto"/>
        <w:jc w:val="both"/>
        <w:rPr>
          <w:rFonts w:ascii="Arial" w:hAnsi="Arial"/>
        </w:rPr>
      </w:pPr>
      <w:r w:rsidRPr="00DA5EEE">
        <w:rPr>
          <w:rFonts w:ascii="Arial" w:hAnsi="Arial"/>
          <w:b/>
          <w:bCs/>
        </w:rPr>
        <w:t>608</w:t>
      </w:r>
      <w:r>
        <w:rPr>
          <w:rFonts w:ascii="Arial" w:hAnsi="Arial"/>
        </w:rPr>
        <w:t xml:space="preserve"> projets d’opérateurs immobiliers</w:t>
      </w:r>
    </w:p>
    <w:p w14:paraId="02A390C9" w14:textId="6EEF52B3" w:rsidR="00DA5EEE" w:rsidRPr="00DA5EEE" w:rsidRDefault="00DA5EEE" w:rsidP="00DA5EEE">
      <w:pPr>
        <w:pStyle w:val="Paragraphedeliste"/>
        <w:numPr>
          <w:ilvl w:val="0"/>
          <w:numId w:val="22"/>
        </w:numPr>
        <w:spacing w:after="0" w:line="240" w:lineRule="auto"/>
        <w:jc w:val="both"/>
        <w:rPr>
          <w:rFonts w:ascii="Arial" w:hAnsi="Arial"/>
        </w:rPr>
      </w:pPr>
      <w:r w:rsidRPr="00DA5EEE">
        <w:rPr>
          <w:rFonts w:ascii="Arial" w:hAnsi="Arial"/>
          <w:b/>
          <w:bCs/>
        </w:rPr>
        <w:t>898</w:t>
      </w:r>
      <w:r>
        <w:rPr>
          <w:rFonts w:ascii="Arial" w:hAnsi="Arial"/>
        </w:rPr>
        <w:t xml:space="preserve"> autres projets (dont collectivités)</w:t>
      </w:r>
    </w:p>
    <w:p w14:paraId="376C370A" w14:textId="4D884363" w:rsidR="00900CAA" w:rsidRDefault="00900CAA" w:rsidP="00900CAA">
      <w:pPr>
        <w:spacing w:after="0" w:line="240" w:lineRule="auto"/>
        <w:jc w:val="both"/>
        <w:rPr>
          <w:rFonts w:ascii="Arial" w:hAnsi="Arial"/>
        </w:rPr>
      </w:pPr>
    </w:p>
    <w:p w14:paraId="125B5E3D" w14:textId="328E0BF4" w:rsidR="00900CAA" w:rsidRDefault="00900CAA" w:rsidP="00900CAA">
      <w:pPr>
        <w:spacing w:after="0" w:line="240" w:lineRule="auto"/>
        <w:jc w:val="both"/>
        <w:rPr>
          <w:rFonts w:ascii="Arial" w:hAnsi="Arial"/>
        </w:rPr>
      </w:pPr>
      <w:r w:rsidRPr="00900CAA">
        <w:rPr>
          <w:rFonts w:ascii="Arial" w:hAnsi="Arial"/>
        </w:rPr>
        <w:t>Cette croissance s’explique pour différentes raisons, notamment :</w:t>
      </w:r>
    </w:p>
    <w:p w14:paraId="0E6D613E" w14:textId="77777777" w:rsidR="00900CAA" w:rsidRPr="00900CAA" w:rsidRDefault="00900CAA" w:rsidP="00900CAA">
      <w:pPr>
        <w:spacing w:after="0" w:line="240" w:lineRule="auto"/>
        <w:jc w:val="both"/>
        <w:rPr>
          <w:rFonts w:ascii="Arial" w:hAnsi="Arial"/>
        </w:rPr>
      </w:pPr>
    </w:p>
    <w:p w14:paraId="771E5D65" w14:textId="77777777" w:rsidR="00900CAA" w:rsidRPr="00900CAA" w:rsidRDefault="00900CAA" w:rsidP="00900CAA">
      <w:pPr>
        <w:numPr>
          <w:ilvl w:val="0"/>
          <w:numId w:val="19"/>
        </w:numPr>
        <w:spacing w:after="0" w:line="240" w:lineRule="auto"/>
        <w:jc w:val="both"/>
        <w:rPr>
          <w:rFonts w:ascii="Arial" w:hAnsi="Arial"/>
        </w:rPr>
      </w:pPr>
      <w:r w:rsidRPr="00900CAA">
        <w:rPr>
          <w:rFonts w:ascii="Arial" w:hAnsi="Arial"/>
        </w:rPr>
        <w:t>la multiplication des campagnes de don sans récompense à destination des associations de solidarité ou personnes en difficultés en raison de la COVID-19 ;</w:t>
      </w:r>
    </w:p>
    <w:p w14:paraId="62F1ECCB" w14:textId="209DA0B8" w:rsidR="00900CAA" w:rsidRPr="00900CAA" w:rsidRDefault="00900CAA" w:rsidP="00900CAA">
      <w:pPr>
        <w:numPr>
          <w:ilvl w:val="0"/>
          <w:numId w:val="19"/>
        </w:numPr>
        <w:spacing w:after="0" w:line="240" w:lineRule="auto"/>
        <w:jc w:val="both"/>
        <w:rPr>
          <w:rFonts w:ascii="Arial" w:hAnsi="Arial"/>
        </w:rPr>
      </w:pPr>
      <w:r w:rsidRPr="00900CAA">
        <w:rPr>
          <w:rFonts w:ascii="Arial" w:hAnsi="Arial"/>
        </w:rPr>
        <w:t>le</w:t>
      </w:r>
      <w:r w:rsidR="0081027E">
        <w:rPr>
          <w:rFonts w:ascii="Arial" w:hAnsi="Arial"/>
        </w:rPr>
        <w:t xml:space="preserve"> succès toujours grandissant du</w:t>
      </w:r>
      <w:r w:rsidRPr="00900CAA">
        <w:rPr>
          <w:rFonts w:ascii="Arial" w:hAnsi="Arial"/>
        </w:rPr>
        <w:t xml:space="preserve"> secteur de l’immobilier auprès des investisseurs</w:t>
      </w:r>
      <w:r w:rsidR="0081027E">
        <w:rPr>
          <w:rFonts w:ascii="Arial" w:hAnsi="Arial"/>
        </w:rPr>
        <w:t xml:space="preserve"> : un secteur qui </w:t>
      </w:r>
      <w:r w:rsidRPr="00900CAA">
        <w:rPr>
          <w:rFonts w:ascii="Arial" w:hAnsi="Arial"/>
        </w:rPr>
        <w:t>se porte très bien, malgré des retards de chantier, avec une collecte de 56</w:t>
      </w:r>
      <w:r w:rsidR="00405497">
        <w:rPr>
          <w:rFonts w:ascii="Arial" w:hAnsi="Arial"/>
        </w:rPr>
        <w:t>1</w:t>
      </w:r>
      <w:r w:rsidRPr="00900CAA">
        <w:rPr>
          <w:rFonts w:ascii="Arial" w:hAnsi="Arial"/>
        </w:rPr>
        <w:t>,1</w:t>
      </w:r>
      <w:r w:rsidR="00405497">
        <w:rPr>
          <w:rFonts w:ascii="Arial" w:hAnsi="Arial"/>
        </w:rPr>
        <w:t>7</w:t>
      </w:r>
      <w:r w:rsidRPr="00900CAA">
        <w:rPr>
          <w:rFonts w:ascii="Arial" w:hAnsi="Arial"/>
        </w:rPr>
        <w:t xml:space="preserve"> millions d’euros ;</w:t>
      </w:r>
    </w:p>
    <w:p w14:paraId="76160062" w14:textId="5C0FF7AF" w:rsidR="00900CAA" w:rsidRPr="00900CAA" w:rsidRDefault="00900CAA" w:rsidP="00900CAA">
      <w:pPr>
        <w:numPr>
          <w:ilvl w:val="0"/>
          <w:numId w:val="19"/>
        </w:numPr>
        <w:spacing w:after="0" w:line="240" w:lineRule="auto"/>
        <w:jc w:val="both"/>
        <w:rPr>
          <w:rFonts w:ascii="Arial" w:hAnsi="Arial"/>
        </w:rPr>
      </w:pPr>
      <w:r w:rsidRPr="00900CAA">
        <w:rPr>
          <w:rFonts w:ascii="Arial" w:hAnsi="Arial"/>
        </w:rPr>
        <w:t>l’appui aux entreprises en difficultés avec notamment la possibilité pour les</w:t>
      </w:r>
      <w:r w:rsidR="00635CC2">
        <w:rPr>
          <w:rFonts w:ascii="Arial" w:hAnsi="Arial"/>
        </w:rPr>
        <w:t xml:space="preserve"> intermédiaires en financement participatif</w:t>
      </w:r>
      <w:r w:rsidRPr="00900CAA">
        <w:rPr>
          <w:rFonts w:ascii="Arial" w:hAnsi="Arial"/>
        </w:rPr>
        <w:t xml:space="preserve"> </w:t>
      </w:r>
      <w:r w:rsidR="00635CC2">
        <w:rPr>
          <w:rFonts w:ascii="Arial" w:hAnsi="Arial"/>
        </w:rPr>
        <w:t>(</w:t>
      </w:r>
      <w:r w:rsidRPr="00900CAA">
        <w:rPr>
          <w:rFonts w:ascii="Arial" w:hAnsi="Arial"/>
        </w:rPr>
        <w:t>IFP</w:t>
      </w:r>
      <w:r w:rsidR="00635CC2">
        <w:rPr>
          <w:rFonts w:ascii="Arial" w:hAnsi="Arial"/>
        </w:rPr>
        <w:t>)</w:t>
      </w:r>
      <w:r w:rsidRPr="00900CAA">
        <w:rPr>
          <w:rFonts w:ascii="Arial" w:hAnsi="Arial"/>
        </w:rPr>
        <w:t xml:space="preserve"> de distribuer des prêts garantis par l’État à hauteur de 90% ;</w:t>
      </w:r>
    </w:p>
    <w:p w14:paraId="4519AB3C" w14:textId="722070DD" w:rsidR="00900CAA" w:rsidRPr="00900CAA" w:rsidRDefault="00900CAA" w:rsidP="00900CAA">
      <w:pPr>
        <w:numPr>
          <w:ilvl w:val="0"/>
          <w:numId w:val="19"/>
        </w:numPr>
        <w:spacing w:after="0" w:line="240" w:lineRule="auto"/>
        <w:jc w:val="both"/>
        <w:rPr>
          <w:rFonts w:ascii="Arial" w:hAnsi="Arial"/>
        </w:rPr>
      </w:pPr>
      <w:r w:rsidRPr="00900CAA">
        <w:rPr>
          <w:rFonts w:ascii="Arial" w:hAnsi="Arial"/>
        </w:rPr>
        <w:lastRenderedPageBreak/>
        <w:t xml:space="preserve">l’apport de fonds propres via les plateformes d’investissement en capital </w:t>
      </w:r>
      <w:r w:rsidR="00405497" w:rsidRPr="00405497">
        <w:rPr>
          <w:rFonts w:ascii="Arial" w:hAnsi="Arial"/>
        </w:rPr>
        <w:t xml:space="preserve">aux développeurs d’énergie renouvelables et </w:t>
      </w:r>
      <w:r w:rsidRPr="00900CAA">
        <w:rPr>
          <w:rFonts w:ascii="Arial" w:hAnsi="Arial"/>
        </w:rPr>
        <w:t>aux entreprises très endettées suite à la crise.</w:t>
      </w:r>
    </w:p>
    <w:p w14:paraId="04CAEB8D" w14:textId="77777777" w:rsidR="00900CAA" w:rsidRPr="00900CAA" w:rsidRDefault="00900CAA" w:rsidP="00900CAA">
      <w:pPr>
        <w:spacing w:after="0" w:line="240" w:lineRule="auto"/>
        <w:jc w:val="both"/>
        <w:rPr>
          <w:rFonts w:ascii="Arial" w:hAnsi="Arial"/>
        </w:rPr>
      </w:pPr>
    </w:p>
    <w:p w14:paraId="6605B6AC" w14:textId="77777777" w:rsidR="00900CAA" w:rsidRPr="00900CAA" w:rsidRDefault="00900CAA" w:rsidP="00900CAA">
      <w:pPr>
        <w:spacing w:after="0" w:line="240" w:lineRule="auto"/>
        <w:jc w:val="both"/>
        <w:rPr>
          <w:rFonts w:ascii="Arial" w:hAnsi="Arial"/>
        </w:rPr>
      </w:pPr>
    </w:p>
    <w:p w14:paraId="632E5209" w14:textId="77777777" w:rsidR="00900CAA" w:rsidRPr="00900CAA" w:rsidRDefault="00900CAA" w:rsidP="00900CAA">
      <w:pPr>
        <w:spacing w:after="0" w:line="240" w:lineRule="auto"/>
        <w:jc w:val="both"/>
        <w:rPr>
          <w:rFonts w:ascii="Arial" w:hAnsi="Arial"/>
        </w:rPr>
      </w:pPr>
      <w:r w:rsidRPr="00900CAA">
        <w:rPr>
          <w:rFonts w:ascii="Arial" w:hAnsi="Arial"/>
        </w:rPr>
        <w:t>Au 31 décembre 2020, l’Orias – le registre des intermédiaires en assura</w:t>
      </w:r>
      <w:bookmarkStart w:id="0" w:name="_GoBack"/>
      <w:bookmarkEnd w:id="0"/>
      <w:r w:rsidRPr="00900CAA">
        <w:rPr>
          <w:rFonts w:ascii="Arial" w:hAnsi="Arial"/>
        </w:rPr>
        <w:t xml:space="preserve">nce, banque et finance – dénombrait 166 intermédiaires en financement participatif (IFP : plateformes de don et prêt), et 62 conseillers en investissements participatifs (CIP : plateformes d’investissement en capital, obligations, et </w:t>
      </w:r>
      <w:proofErr w:type="spellStart"/>
      <w:r w:rsidRPr="00900CAA">
        <w:rPr>
          <w:rFonts w:ascii="Arial" w:hAnsi="Arial"/>
        </w:rPr>
        <w:t>minibons</w:t>
      </w:r>
      <w:proofErr w:type="spellEnd"/>
      <w:r w:rsidRPr="00900CAA">
        <w:rPr>
          <w:rFonts w:ascii="Arial" w:hAnsi="Arial"/>
        </w:rPr>
        <w:t xml:space="preserve">). </w:t>
      </w:r>
    </w:p>
    <w:p w14:paraId="030E06DA" w14:textId="77777777" w:rsidR="00900CAA" w:rsidRPr="00900CAA" w:rsidRDefault="00900CAA" w:rsidP="00900CAA">
      <w:pPr>
        <w:spacing w:after="0" w:line="240" w:lineRule="auto"/>
        <w:jc w:val="both"/>
        <w:rPr>
          <w:rFonts w:ascii="Arial" w:hAnsi="Arial"/>
        </w:rPr>
      </w:pPr>
    </w:p>
    <w:p w14:paraId="72360CE5" w14:textId="40D47010" w:rsidR="00900CAA" w:rsidRDefault="00900CAA" w:rsidP="00900CAA">
      <w:pPr>
        <w:spacing w:after="0" w:line="240" w:lineRule="auto"/>
        <w:jc w:val="both"/>
        <w:rPr>
          <w:rFonts w:ascii="Arial" w:hAnsi="Arial"/>
          <w:b/>
          <w:bCs/>
        </w:rPr>
      </w:pPr>
      <w:r w:rsidRPr="00900CAA">
        <w:rPr>
          <w:rFonts w:ascii="Arial" w:hAnsi="Arial"/>
          <w:b/>
          <w:bCs/>
        </w:rPr>
        <w:t>Le financement participatif en don</w:t>
      </w:r>
    </w:p>
    <w:p w14:paraId="30DBF233" w14:textId="77777777" w:rsidR="00C11C38" w:rsidRPr="00900CAA" w:rsidRDefault="00C11C38" w:rsidP="00900CAA">
      <w:pPr>
        <w:spacing w:after="0" w:line="240" w:lineRule="auto"/>
        <w:jc w:val="both"/>
        <w:rPr>
          <w:rFonts w:ascii="Arial" w:hAnsi="Arial"/>
          <w:b/>
          <w:bCs/>
        </w:rPr>
      </w:pPr>
    </w:p>
    <w:p w14:paraId="1E99AE25" w14:textId="51F4FBF0" w:rsidR="00900CAA" w:rsidRPr="00900CAA" w:rsidRDefault="00900CAA" w:rsidP="00900CAA">
      <w:pPr>
        <w:spacing w:after="0" w:line="240" w:lineRule="auto"/>
        <w:jc w:val="both"/>
        <w:rPr>
          <w:rFonts w:ascii="Arial" w:hAnsi="Arial"/>
        </w:rPr>
      </w:pPr>
      <w:r w:rsidRPr="00900CAA">
        <w:rPr>
          <w:rFonts w:ascii="Arial" w:hAnsi="Arial"/>
        </w:rPr>
        <w:t xml:space="preserve">Si le secteur du don stagnait autour de </w:t>
      </w:r>
      <w:r w:rsidR="00405497">
        <w:rPr>
          <w:rFonts w:ascii="Arial" w:hAnsi="Arial"/>
        </w:rPr>
        <w:t>8</w:t>
      </w:r>
      <w:r w:rsidRPr="00900CAA">
        <w:rPr>
          <w:rFonts w:ascii="Arial" w:hAnsi="Arial"/>
        </w:rPr>
        <w:t xml:space="preserve">0 millions d’euros ces deux dernières années, il a connu un pic en 2020, avec une </w:t>
      </w:r>
      <w:r w:rsidRPr="00900CAA">
        <w:rPr>
          <w:rFonts w:ascii="Arial" w:hAnsi="Arial"/>
          <w:b/>
          <w:bCs/>
        </w:rPr>
        <w:t>collecte de 218,5 millions d’euros, dont 52 millions à destination de projets humanitaires et solidaires</w:t>
      </w:r>
      <w:r w:rsidRPr="00900CAA">
        <w:rPr>
          <w:rFonts w:ascii="Arial" w:hAnsi="Arial"/>
        </w:rPr>
        <w:t>. En effet, le contexte de crise sanitaire dans lequel nous nous trouvons a suscité, dès le</w:t>
      </w:r>
      <w:r w:rsidR="00635CC2">
        <w:rPr>
          <w:rFonts w:ascii="Arial" w:hAnsi="Arial"/>
        </w:rPr>
        <w:t xml:space="preserve"> premier</w:t>
      </w:r>
      <w:r w:rsidRPr="00900CAA">
        <w:rPr>
          <w:rFonts w:ascii="Arial" w:hAnsi="Arial"/>
        </w:rPr>
        <w:t xml:space="preserve"> confinement, des élans de générosité et de mobilisation des citoyens via les plateformes de crowdfunding sans précédent, avec des dons de 246 € en moyenne pour la catégorie don sans récompense (versus 93 € en 2019).</w:t>
      </w:r>
    </w:p>
    <w:p w14:paraId="1CAC3574" w14:textId="77777777" w:rsidR="00900CAA" w:rsidRPr="00900CAA" w:rsidRDefault="00900CAA" w:rsidP="00900CAA">
      <w:pPr>
        <w:spacing w:after="0" w:line="240" w:lineRule="auto"/>
        <w:jc w:val="both"/>
        <w:rPr>
          <w:rFonts w:ascii="Arial" w:hAnsi="Arial"/>
        </w:rPr>
      </w:pPr>
    </w:p>
    <w:p w14:paraId="158B6348" w14:textId="77777777" w:rsidR="00900CAA" w:rsidRPr="00900CAA" w:rsidRDefault="00900CAA" w:rsidP="00900CAA">
      <w:pPr>
        <w:spacing w:after="0" w:line="240" w:lineRule="auto"/>
        <w:jc w:val="both"/>
        <w:rPr>
          <w:rFonts w:ascii="Arial" w:hAnsi="Arial"/>
        </w:rPr>
      </w:pPr>
      <w:r w:rsidRPr="00900CAA">
        <w:rPr>
          <w:rFonts w:ascii="Arial" w:hAnsi="Arial"/>
        </w:rPr>
        <w:t>Au-delà de la solidarité, le crowdfunding en don permet également à des projets économiques (pour 65,1 M€) ou à des projets culturels (pour 71,2 M€) de voir le jour ou de se développer. C’est la typologie de financement qui illustre le mieux la variété des projets financés par le crowdfunding.</w:t>
      </w:r>
    </w:p>
    <w:p w14:paraId="1F6C8737" w14:textId="77777777" w:rsidR="00900CAA" w:rsidRPr="00900CAA" w:rsidRDefault="00900CAA" w:rsidP="00900CAA">
      <w:pPr>
        <w:spacing w:after="0" w:line="240" w:lineRule="auto"/>
        <w:jc w:val="both"/>
        <w:rPr>
          <w:rFonts w:ascii="Arial" w:hAnsi="Arial"/>
        </w:rPr>
      </w:pPr>
    </w:p>
    <w:p w14:paraId="218C1C74" w14:textId="35E79905" w:rsidR="00900CAA" w:rsidRDefault="00900CAA" w:rsidP="00900CAA">
      <w:pPr>
        <w:spacing w:after="0" w:line="240" w:lineRule="auto"/>
        <w:jc w:val="both"/>
        <w:rPr>
          <w:rFonts w:ascii="Arial" w:hAnsi="Arial"/>
          <w:b/>
          <w:bCs/>
        </w:rPr>
      </w:pPr>
      <w:r w:rsidRPr="00900CAA">
        <w:rPr>
          <w:rFonts w:ascii="Arial" w:hAnsi="Arial"/>
          <w:b/>
          <w:bCs/>
        </w:rPr>
        <w:t>Le financement participatif en prêt</w:t>
      </w:r>
    </w:p>
    <w:p w14:paraId="10E6261E" w14:textId="77777777" w:rsidR="00C11C38" w:rsidRPr="00900CAA" w:rsidRDefault="00C11C38" w:rsidP="00900CAA">
      <w:pPr>
        <w:spacing w:after="0" w:line="240" w:lineRule="auto"/>
        <w:jc w:val="both"/>
        <w:rPr>
          <w:rFonts w:ascii="Arial" w:hAnsi="Arial"/>
          <w:b/>
          <w:bCs/>
        </w:rPr>
      </w:pPr>
    </w:p>
    <w:p w14:paraId="172C4EF5" w14:textId="68510372" w:rsidR="00900CAA" w:rsidRDefault="00900CAA" w:rsidP="00900CAA">
      <w:pPr>
        <w:spacing w:after="0" w:line="240" w:lineRule="auto"/>
        <w:jc w:val="both"/>
        <w:rPr>
          <w:rFonts w:ascii="Arial" w:hAnsi="Arial"/>
        </w:rPr>
      </w:pPr>
      <w:r w:rsidRPr="00900CAA">
        <w:rPr>
          <w:rFonts w:ascii="Arial" w:hAnsi="Arial"/>
        </w:rPr>
        <w:t xml:space="preserve">Ce sont plus de </w:t>
      </w:r>
      <w:r w:rsidRPr="00900CAA">
        <w:rPr>
          <w:rFonts w:ascii="Arial" w:hAnsi="Arial"/>
          <w:b/>
          <w:bCs/>
        </w:rPr>
        <w:t>741 millions d’euros</w:t>
      </w:r>
      <w:r w:rsidRPr="00900CAA">
        <w:rPr>
          <w:rFonts w:ascii="Arial" w:hAnsi="Arial"/>
        </w:rPr>
        <w:t xml:space="preserve"> qui ont été collectés en 2020 sur les plateformes, contre 508 millions d’euros en 2019. </w:t>
      </w:r>
    </w:p>
    <w:p w14:paraId="06FE0F40" w14:textId="77777777" w:rsidR="00C11C38" w:rsidRPr="00900CAA" w:rsidRDefault="00C11C38" w:rsidP="00900CAA">
      <w:pPr>
        <w:spacing w:after="0" w:line="240" w:lineRule="auto"/>
        <w:jc w:val="both"/>
        <w:rPr>
          <w:rFonts w:ascii="Arial" w:hAnsi="Arial"/>
        </w:rPr>
      </w:pPr>
    </w:p>
    <w:p w14:paraId="19DDC50E" w14:textId="3E7206C5" w:rsidR="00900CAA" w:rsidRPr="00900CAA" w:rsidRDefault="00900CAA" w:rsidP="00900CAA">
      <w:pPr>
        <w:spacing w:after="0" w:line="240" w:lineRule="auto"/>
        <w:jc w:val="both"/>
        <w:rPr>
          <w:rFonts w:ascii="Arial" w:hAnsi="Arial"/>
        </w:rPr>
      </w:pPr>
      <w:r w:rsidRPr="00900CAA">
        <w:rPr>
          <w:rFonts w:ascii="Arial" w:hAnsi="Arial"/>
          <w:b/>
          <w:bCs/>
        </w:rPr>
        <w:t>L’emprunt obligataire continue de tirer le secteur du prêt puisqu’il concerne 90,5% des volumes collectés</w:t>
      </w:r>
      <w:r w:rsidRPr="00900CAA">
        <w:rPr>
          <w:rFonts w:ascii="Arial" w:hAnsi="Arial"/>
        </w:rPr>
        <w:t>, avec des montant</w:t>
      </w:r>
      <w:r w:rsidR="00405497">
        <w:rPr>
          <w:rFonts w:ascii="Arial" w:hAnsi="Arial"/>
        </w:rPr>
        <w:t>s</w:t>
      </w:r>
      <w:r w:rsidRPr="00900CAA">
        <w:rPr>
          <w:rFonts w:ascii="Arial" w:hAnsi="Arial"/>
        </w:rPr>
        <w:t xml:space="preserve"> moyens de collecte de 403 466 €. Il s’agit pour l’essentiel de financement de promoteurs immobiliers. En effet, le secteur de l’immobilier représente 555 millions d’euros, soit 75% de la collecte en prêt. Le</w:t>
      </w:r>
      <w:r w:rsidR="00635CC2">
        <w:rPr>
          <w:rFonts w:ascii="Arial" w:hAnsi="Arial"/>
        </w:rPr>
        <w:t xml:space="preserve"> second</w:t>
      </w:r>
      <w:r w:rsidRPr="00900CAA">
        <w:rPr>
          <w:rFonts w:ascii="Arial" w:hAnsi="Arial"/>
        </w:rPr>
        <w:t xml:space="preserve"> secteur reste celui de l’environnement et des énergies renouvelables avec 96 millions d’euros collectés suivi par les commerces et services (44 M€).</w:t>
      </w:r>
    </w:p>
    <w:p w14:paraId="6BDD5877" w14:textId="77777777" w:rsidR="00900CAA" w:rsidRPr="00900CAA" w:rsidRDefault="00900CAA" w:rsidP="00900CAA">
      <w:pPr>
        <w:spacing w:after="0" w:line="240" w:lineRule="auto"/>
        <w:jc w:val="both"/>
        <w:rPr>
          <w:rFonts w:ascii="Arial" w:hAnsi="Arial"/>
        </w:rPr>
      </w:pPr>
    </w:p>
    <w:p w14:paraId="2597B7C8" w14:textId="77777777" w:rsidR="00900CAA" w:rsidRPr="00900CAA" w:rsidRDefault="00900CAA" w:rsidP="00900CAA">
      <w:pPr>
        <w:spacing w:after="0" w:line="240" w:lineRule="auto"/>
        <w:jc w:val="both"/>
        <w:rPr>
          <w:rFonts w:ascii="Arial" w:hAnsi="Arial"/>
        </w:rPr>
      </w:pPr>
      <w:r w:rsidRPr="00900CAA">
        <w:rPr>
          <w:rFonts w:ascii="Arial" w:hAnsi="Arial"/>
        </w:rPr>
        <w:t xml:space="preserve">À noter qu’aux 56 millions d’euros collectés en prêt rémunéré s’ajoutent </w:t>
      </w:r>
      <w:r w:rsidRPr="00900CAA">
        <w:rPr>
          <w:rFonts w:ascii="Arial" w:hAnsi="Arial"/>
          <w:b/>
          <w:bCs/>
        </w:rPr>
        <w:t>111 millions d’euros qui viennent abonder les collectes</w:t>
      </w:r>
      <w:r w:rsidRPr="00900CAA">
        <w:rPr>
          <w:rFonts w:ascii="Arial" w:hAnsi="Arial"/>
        </w:rPr>
        <w:t xml:space="preserve"> sur certaines plateformes via des fonds de prêts. </w:t>
      </w:r>
    </w:p>
    <w:p w14:paraId="48723285" w14:textId="77777777" w:rsidR="00900CAA" w:rsidRPr="00900CAA" w:rsidRDefault="00900CAA" w:rsidP="00900CAA">
      <w:pPr>
        <w:spacing w:after="0" w:line="240" w:lineRule="auto"/>
        <w:jc w:val="both"/>
        <w:rPr>
          <w:rFonts w:ascii="Arial" w:hAnsi="Arial"/>
        </w:rPr>
      </w:pPr>
    </w:p>
    <w:p w14:paraId="6009015D" w14:textId="01F332C2" w:rsidR="00900CAA" w:rsidRPr="00900CAA" w:rsidRDefault="00900CAA" w:rsidP="00900CAA">
      <w:pPr>
        <w:spacing w:after="0" w:line="240" w:lineRule="auto"/>
        <w:jc w:val="both"/>
        <w:rPr>
          <w:rFonts w:ascii="Arial" w:hAnsi="Arial"/>
        </w:rPr>
      </w:pPr>
      <w:r w:rsidRPr="00900CAA">
        <w:rPr>
          <w:rFonts w:ascii="Arial" w:hAnsi="Arial"/>
        </w:rPr>
        <w:t xml:space="preserve">Un nouveau type de prêt fait son entrée dans le baromètre 2020 : les prêts garantis par l’État. Trois plateformes IFP ont octroyé pour </w:t>
      </w:r>
      <w:r w:rsidRPr="00900CAA">
        <w:rPr>
          <w:rFonts w:ascii="Arial" w:hAnsi="Arial"/>
          <w:b/>
          <w:bCs/>
        </w:rPr>
        <w:t>4,8 millions d’euros de PGE à 94 entreprises</w:t>
      </w:r>
      <w:r w:rsidRPr="00900CAA">
        <w:rPr>
          <w:rFonts w:ascii="Arial" w:hAnsi="Arial"/>
        </w:rPr>
        <w:t xml:space="preserve"> en difficultés à cause de la crise, montant complété par 7,3 millions d’euros via les fonds de prêt. </w:t>
      </w:r>
    </w:p>
    <w:p w14:paraId="54863FF3" w14:textId="77777777" w:rsidR="00900CAA" w:rsidRPr="00900CAA" w:rsidRDefault="00900CAA" w:rsidP="00900CAA">
      <w:pPr>
        <w:spacing w:after="0" w:line="240" w:lineRule="auto"/>
        <w:jc w:val="both"/>
        <w:rPr>
          <w:rFonts w:ascii="Arial" w:hAnsi="Arial"/>
        </w:rPr>
      </w:pPr>
    </w:p>
    <w:p w14:paraId="3D502E16" w14:textId="5B9BADC4" w:rsidR="00900CAA" w:rsidRDefault="00900CAA" w:rsidP="00900CAA">
      <w:pPr>
        <w:spacing w:after="0" w:line="240" w:lineRule="auto"/>
        <w:jc w:val="both"/>
        <w:rPr>
          <w:rFonts w:ascii="Arial" w:hAnsi="Arial"/>
          <w:b/>
          <w:bCs/>
        </w:rPr>
      </w:pPr>
      <w:r w:rsidRPr="00900CAA">
        <w:rPr>
          <w:rFonts w:ascii="Arial" w:hAnsi="Arial"/>
          <w:b/>
          <w:bCs/>
        </w:rPr>
        <w:t>Le financement participatif en investissement</w:t>
      </w:r>
    </w:p>
    <w:p w14:paraId="7E6615C9" w14:textId="77777777" w:rsidR="00C11C38" w:rsidRPr="00900CAA" w:rsidRDefault="00C11C38" w:rsidP="00900CAA">
      <w:pPr>
        <w:spacing w:after="0" w:line="240" w:lineRule="auto"/>
        <w:jc w:val="both"/>
        <w:rPr>
          <w:rFonts w:ascii="Arial" w:hAnsi="Arial"/>
          <w:b/>
          <w:bCs/>
        </w:rPr>
      </w:pPr>
    </w:p>
    <w:p w14:paraId="7B9AE142" w14:textId="1B7DC96A" w:rsidR="00900CAA" w:rsidRPr="00900CAA" w:rsidRDefault="00900CAA" w:rsidP="00900CAA">
      <w:pPr>
        <w:spacing w:after="0" w:line="240" w:lineRule="auto"/>
        <w:jc w:val="both"/>
        <w:rPr>
          <w:rFonts w:ascii="Arial" w:hAnsi="Arial"/>
        </w:rPr>
      </w:pPr>
      <w:r w:rsidRPr="00900CAA">
        <w:rPr>
          <w:rFonts w:ascii="Arial" w:hAnsi="Arial"/>
        </w:rPr>
        <w:t xml:space="preserve">Avec </w:t>
      </w:r>
      <w:r w:rsidRPr="00900CAA">
        <w:rPr>
          <w:rFonts w:ascii="Arial" w:hAnsi="Arial"/>
          <w:b/>
          <w:bCs/>
        </w:rPr>
        <w:t>59,2 millions d’euros</w:t>
      </w:r>
      <w:r w:rsidRPr="00900CAA">
        <w:rPr>
          <w:rFonts w:ascii="Arial" w:hAnsi="Arial"/>
        </w:rPr>
        <w:t xml:space="preserve"> collecté en capital ou en royalties, l’investissement connait une </w:t>
      </w:r>
      <w:r w:rsidRPr="00900CAA">
        <w:rPr>
          <w:rFonts w:ascii="Arial" w:hAnsi="Arial"/>
          <w:b/>
          <w:bCs/>
        </w:rPr>
        <w:t>croissance de près de 43%</w:t>
      </w:r>
      <w:r w:rsidRPr="00900CAA">
        <w:rPr>
          <w:rFonts w:ascii="Arial" w:hAnsi="Arial"/>
        </w:rPr>
        <w:t xml:space="preserve"> par rapport à l’année 2019.</w:t>
      </w:r>
      <w:r w:rsidR="00405497">
        <w:rPr>
          <w:rFonts w:ascii="Arial" w:hAnsi="Arial"/>
        </w:rPr>
        <w:t xml:space="preserve"> </w:t>
      </w:r>
      <w:r w:rsidRPr="00900CAA">
        <w:rPr>
          <w:rFonts w:ascii="Arial" w:hAnsi="Arial"/>
        </w:rPr>
        <w:t>A noter que l’investissement via les plateformes de crowdfunding se f</w:t>
      </w:r>
      <w:r w:rsidR="00405497">
        <w:rPr>
          <w:rFonts w:ascii="Arial" w:hAnsi="Arial"/>
        </w:rPr>
        <w:t>ai</w:t>
      </w:r>
      <w:r w:rsidRPr="00900CAA">
        <w:rPr>
          <w:rFonts w:ascii="Arial" w:hAnsi="Arial"/>
        </w:rPr>
        <w:t xml:space="preserve">t souvent en </w:t>
      </w:r>
      <w:proofErr w:type="spellStart"/>
      <w:r w:rsidRPr="00900CAA">
        <w:rPr>
          <w:rFonts w:ascii="Arial" w:hAnsi="Arial"/>
        </w:rPr>
        <w:t>co</w:t>
      </w:r>
      <w:proofErr w:type="spellEnd"/>
      <w:r w:rsidRPr="00900CAA">
        <w:rPr>
          <w:rFonts w:ascii="Arial" w:hAnsi="Arial"/>
        </w:rPr>
        <w:t xml:space="preserve">-investissement avec des acteurs institutionnels. Ainsi, ce sont 107,6 millions d’euros qui ont été </w:t>
      </w:r>
      <w:proofErr w:type="spellStart"/>
      <w:r w:rsidRPr="00900CAA">
        <w:rPr>
          <w:rFonts w:ascii="Arial" w:hAnsi="Arial"/>
        </w:rPr>
        <w:t>co</w:t>
      </w:r>
      <w:proofErr w:type="spellEnd"/>
      <w:r w:rsidRPr="00900CAA">
        <w:rPr>
          <w:rFonts w:ascii="Arial" w:hAnsi="Arial"/>
        </w:rPr>
        <w:t xml:space="preserve">-investis dans les startups et entreprises. </w:t>
      </w:r>
    </w:p>
    <w:p w14:paraId="7FC0920A" w14:textId="77777777" w:rsidR="00900CAA" w:rsidRPr="00900CAA" w:rsidRDefault="00900CAA" w:rsidP="00900CAA">
      <w:pPr>
        <w:spacing w:after="0" w:line="240" w:lineRule="auto"/>
        <w:jc w:val="both"/>
        <w:rPr>
          <w:rFonts w:ascii="Arial" w:hAnsi="Arial"/>
        </w:rPr>
      </w:pPr>
    </w:p>
    <w:p w14:paraId="19AF8D96" w14:textId="77777777" w:rsidR="00900CAA" w:rsidRPr="00900CAA" w:rsidRDefault="00900CAA" w:rsidP="00900CAA">
      <w:pPr>
        <w:spacing w:after="0" w:line="240" w:lineRule="auto"/>
        <w:jc w:val="both"/>
        <w:rPr>
          <w:rFonts w:ascii="Arial" w:hAnsi="Arial"/>
        </w:rPr>
      </w:pPr>
      <w:r w:rsidRPr="00900CAA">
        <w:rPr>
          <w:rFonts w:ascii="Arial" w:hAnsi="Arial"/>
        </w:rPr>
        <w:t xml:space="preserve">C’est le secteur de l’environnement et des énergies renouvelables qui arrive en premier, avec 17,7 millions d’euros collectés, suivi des secteurs des commerces et services, et de la santé et recherche scientifique pour 10,3 millions d’euros chacun. </w:t>
      </w:r>
    </w:p>
    <w:p w14:paraId="7ED76205" w14:textId="77777777" w:rsidR="00900CAA" w:rsidRPr="00900CAA" w:rsidRDefault="00900CAA" w:rsidP="00900CAA">
      <w:pPr>
        <w:spacing w:after="0" w:line="240" w:lineRule="auto"/>
        <w:jc w:val="both"/>
        <w:rPr>
          <w:rFonts w:ascii="Arial" w:hAnsi="Arial"/>
        </w:rPr>
      </w:pPr>
    </w:p>
    <w:p w14:paraId="27D8524E" w14:textId="2D5EBB34" w:rsidR="00900CAA" w:rsidRDefault="00900CAA" w:rsidP="00900CAA">
      <w:pPr>
        <w:spacing w:after="0" w:line="240" w:lineRule="auto"/>
        <w:jc w:val="both"/>
        <w:rPr>
          <w:rFonts w:ascii="Arial" w:hAnsi="Arial"/>
          <w:b/>
          <w:bCs/>
        </w:rPr>
      </w:pPr>
      <w:r w:rsidRPr="00900CAA">
        <w:rPr>
          <w:rFonts w:ascii="Arial" w:hAnsi="Arial"/>
          <w:b/>
          <w:bCs/>
        </w:rPr>
        <w:t>Des financeurs multirécidivistes</w:t>
      </w:r>
    </w:p>
    <w:p w14:paraId="2640850C" w14:textId="77777777" w:rsidR="00C11C38" w:rsidRPr="00900CAA" w:rsidRDefault="00C11C38" w:rsidP="00900CAA">
      <w:pPr>
        <w:spacing w:after="0" w:line="240" w:lineRule="auto"/>
        <w:jc w:val="both"/>
        <w:rPr>
          <w:rFonts w:ascii="Arial" w:hAnsi="Arial"/>
          <w:b/>
          <w:bCs/>
        </w:rPr>
      </w:pPr>
    </w:p>
    <w:p w14:paraId="30DA30CF" w14:textId="38227786" w:rsidR="00900CAA" w:rsidRPr="00900CAA" w:rsidRDefault="00900CAA" w:rsidP="00900CAA">
      <w:pPr>
        <w:spacing w:after="0" w:line="240" w:lineRule="auto"/>
        <w:jc w:val="both"/>
        <w:rPr>
          <w:rFonts w:ascii="Arial" w:hAnsi="Arial"/>
        </w:rPr>
      </w:pPr>
      <w:r w:rsidRPr="00900CAA">
        <w:rPr>
          <w:rFonts w:ascii="Arial" w:hAnsi="Arial"/>
        </w:rPr>
        <w:t>Qui sont les financeurs sur les plateformes de crowdfunding ?</w:t>
      </w:r>
      <w:r w:rsidR="00472F51">
        <w:rPr>
          <w:rFonts w:ascii="Arial" w:hAnsi="Arial"/>
        </w:rPr>
        <w:t xml:space="preserve"> </w:t>
      </w:r>
      <w:r w:rsidRPr="00900CAA">
        <w:rPr>
          <w:rFonts w:ascii="Arial" w:hAnsi="Arial"/>
        </w:rPr>
        <w:t xml:space="preserve">Les financeurs, qu’il s’agisse de don, de prêt ou d’investissement, ont en moyenne entre 40 et 46 ans et sont pour près de 80% des hommes. </w:t>
      </w:r>
    </w:p>
    <w:p w14:paraId="3D8F5110" w14:textId="3C7A77BE" w:rsidR="00900CAA" w:rsidRPr="00900CAA" w:rsidRDefault="00900CAA" w:rsidP="00900CAA">
      <w:pPr>
        <w:spacing w:after="0" w:line="240" w:lineRule="auto"/>
        <w:jc w:val="both"/>
        <w:rPr>
          <w:rFonts w:ascii="Arial" w:hAnsi="Arial"/>
        </w:rPr>
      </w:pPr>
    </w:p>
    <w:p w14:paraId="7230BD52" w14:textId="7075241E" w:rsidR="00900CAA" w:rsidRDefault="00900CAA" w:rsidP="006D15E9">
      <w:pPr>
        <w:spacing w:after="0" w:line="240" w:lineRule="auto"/>
        <w:jc w:val="both"/>
        <w:rPr>
          <w:rFonts w:ascii="Arial" w:hAnsi="Arial"/>
        </w:rPr>
      </w:pPr>
      <w:r w:rsidRPr="00900CAA">
        <w:rPr>
          <w:rFonts w:ascii="Arial" w:hAnsi="Arial"/>
        </w:rPr>
        <w:t>En revanche, une donnée notable est qu’</w:t>
      </w:r>
      <w:r w:rsidRPr="00900CAA">
        <w:rPr>
          <w:rFonts w:ascii="Arial" w:hAnsi="Arial"/>
          <w:b/>
          <w:bCs/>
        </w:rPr>
        <w:t>ils sont « </w:t>
      </w:r>
      <w:r w:rsidRPr="00900CAA">
        <w:rPr>
          <w:rFonts w:ascii="Arial" w:hAnsi="Arial"/>
          <w:b/>
          <w:bCs/>
          <w:i/>
          <w:iCs/>
        </w:rPr>
        <w:t>serial financeurs</w:t>
      </w:r>
      <w:r w:rsidRPr="00900CAA">
        <w:rPr>
          <w:rFonts w:ascii="Arial" w:hAnsi="Arial"/>
          <w:b/>
          <w:bCs/>
        </w:rPr>
        <w:t> »</w:t>
      </w:r>
      <w:r w:rsidR="00897355">
        <w:rPr>
          <w:rFonts w:ascii="Arial" w:hAnsi="Arial"/>
        </w:rPr>
        <w:t xml:space="preserve">. </w:t>
      </w:r>
      <w:r w:rsidRPr="00900CAA">
        <w:rPr>
          <w:rFonts w:ascii="Arial" w:hAnsi="Arial"/>
        </w:rPr>
        <w:t xml:space="preserve">En effet, sur une plateforme de don, un donateur contribue en moyenne à </w:t>
      </w:r>
      <w:r w:rsidR="00897355">
        <w:rPr>
          <w:rFonts w:ascii="Arial" w:hAnsi="Arial"/>
        </w:rPr>
        <w:t>deux</w:t>
      </w:r>
      <w:r w:rsidRPr="00900CAA">
        <w:rPr>
          <w:rFonts w:ascii="Arial" w:hAnsi="Arial"/>
        </w:rPr>
        <w:t xml:space="preserve"> projets</w:t>
      </w:r>
      <w:r w:rsidRPr="00900CAA">
        <w:rPr>
          <w:rFonts w:ascii="Arial" w:hAnsi="Arial"/>
          <w:vertAlign w:val="superscript"/>
        </w:rPr>
        <w:footnoteReference w:id="1"/>
      </w:r>
      <w:r w:rsidRPr="00900CAA">
        <w:rPr>
          <w:rFonts w:ascii="Arial" w:hAnsi="Arial"/>
        </w:rPr>
        <w:t xml:space="preserve">. Sur une plateforme de prêt, ce sont </w:t>
      </w:r>
      <w:r w:rsidR="00897355">
        <w:rPr>
          <w:rFonts w:ascii="Arial" w:hAnsi="Arial"/>
        </w:rPr>
        <w:t>trois</w:t>
      </w:r>
      <w:r w:rsidRPr="00900CAA">
        <w:rPr>
          <w:rFonts w:ascii="Arial" w:hAnsi="Arial"/>
        </w:rPr>
        <w:t xml:space="preserve"> </w:t>
      </w:r>
      <w:r w:rsidRPr="00900CAA">
        <w:rPr>
          <w:rFonts w:ascii="Arial" w:hAnsi="Arial"/>
        </w:rPr>
        <w:lastRenderedPageBreak/>
        <w:t>entreprises qui sont financées. Et sur une plateforme en capital ou en royalties, un investisseur finance</w:t>
      </w:r>
      <w:r w:rsidR="00897355">
        <w:rPr>
          <w:rFonts w:ascii="Arial" w:hAnsi="Arial"/>
        </w:rPr>
        <w:t xml:space="preserve"> deux</w:t>
      </w:r>
      <w:r w:rsidRPr="00900CAA">
        <w:rPr>
          <w:rFonts w:ascii="Arial" w:hAnsi="Arial"/>
        </w:rPr>
        <w:t xml:space="preserve"> projets en moyenne. Sachant que les données collectées auprès des plateformes ne nous permettent pas de croiser le nombre de financeurs inscrits sur plusieurs plateformes. Ainsi, un financeur peut financer en moyenne </w:t>
      </w:r>
      <w:r w:rsidR="00897355">
        <w:rPr>
          <w:rFonts w:ascii="Arial" w:hAnsi="Arial"/>
        </w:rPr>
        <w:t>deux</w:t>
      </w:r>
      <w:r w:rsidRPr="00900CAA">
        <w:rPr>
          <w:rFonts w:ascii="Arial" w:hAnsi="Arial"/>
        </w:rPr>
        <w:t xml:space="preserve"> projets par plateforme sur une dizaine de plateformes différentes. Les financeurs ont compris l’intérêt de diversifier leur portefeuille et de prêter de petits montants, à plusieurs projets. </w:t>
      </w:r>
    </w:p>
    <w:p w14:paraId="58F780F8" w14:textId="2A1B7D7E" w:rsidR="006D15E9" w:rsidRDefault="006D15E9" w:rsidP="006D15E9">
      <w:pPr>
        <w:spacing w:after="0" w:line="240" w:lineRule="auto"/>
        <w:jc w:val="both"/>
        <w:rPr>
          <w:rFonts w:ascii="Arial" w:hAnsi="Arial"/>
        </w:rPr>
      </w:pPr>
    </w:p>
    <w:p w14:paraId="4BB5385A" w14:textId="60C6E78D" w:rsidR="00723AF6" w:rsidRDefault="00723AF6" w:rsidP="00723AF6">
      <w:pPr>
        <w:spacing w:after="0" w:line="240" w:lineRule="auto"/>
        <w:jc w:val="both"/>
        <w:rPr>
          <w:rFonts w:ascii="Arial" w:hAnsi="Arial"/>
        </w:rPr>
      </w:pPr>
    </w:p>
    <w:p w14:paraId="31E0DFA6" w14:textId="24A664CF" w:rsidR="00723AF6" w:rsidRDefault="00723AF6" w:rsidP="00723AF6">
      <w:pPr>
        <w:spacing w:after="0" w:line="240" w:lineRule="auto"/>
        <w:jc w:val="both"/>
        <w:rPr>
          <w:rFonts w:ascii="Arial" w:hAnsi="Arial"/>
          <w:i/>
          <w:iCs/>
        </w:rPr>
      </w:pPr>
      <w:r w:rsidRPr="00900CAA">
        <w:rPr>
          <w:rFonts w:ascii="Arial" w:hAnsi="Arial"/>
          <w:b/>
          <w:bCs/>
        </w:rPr>
        <w:t xml:space="preserve">Jérémie Benmoussa, Président de Financement Participatif </w:t>
      </w:r>
      <w:r>
        <w:rPr>
          <w:rFonts w:ascii="Arial" w:hAnsi="Arial"/>
          <w:b/>
          <w:bCs/>
        </w:rPr>
        <w:t>France</w:t>
      </w:r>
      <w:r>
        <w:rPr>
          <w:rFonts w:ascii="Arial" w:hAnsi="Arial"/>
        </w:rPr>
        <w:t xml:space="preserve">, déclare : </w:t>
      </w:r>
      <w:r w:rsidRPr="00900CAA">
        <w:rPr>
          <w:rFonts w:ascii="Arial" w:hAnsi="Arial"/>
        </w:rPr>
        <w:t xml:space="preserve">« </w:t>
      </w:r>
      <w:r w:rsidRPr="00900CAA">
        <w:rPr>
          <w:rFonts w:ascii="Arial" w:hAnsi="Arial"/>
          <w:i/>
          <w:iCs/>
        </w:rPr>
        <w:t xml:space="preserve">Malgré un contexte économique particulier le financement participatif a vu en 2020 sa collecte progresser de manière significative et symbolique. L’ensemble des </w:t>
      </w:r>
      <w:r>
        <w:rPr>
          <w:rFonts w:ascii="Arial" w:hAnsi="Arial"/>
          <w:i/>
          <w:iCs/>
        </w:rPr>
        <w:t xml:space="preserve">projets proposés </w:t>
      </w:r>
      <w:r w:rsidRPr="00900CAA">
        <w:rPr>
          <w:rFonts w:ascii="Arial" w:hAnsi="Arial"/>
          <w:i/>
          <w:iCs/>
        </w:rPr>
        <w:t>par les plateformes ont enregistré un</w:t>
      </w:r>
      <w:r w:rsidR="006D15E9">
        <w:rPr>
          <w:rFonts w:ascii="Arial" w:hAnsi="Arial"/>
          <w:i/>
          <w:iCs/>
        </w:rPr>
        <w:t xml:space="preserve"> </w:t>
      </w:r>
      <w:r w:rsidRPr="00900CAA">
        <w:rPr>
          <w:rFonts w:ascii="Arial" w:hAnsi="Arial"/>
          <w:i/>
          <w:iCs/>
        </w:rPr>
        <w:t>mouvement haussier</w:t>
      </w:r>
      <w:r>
        <w:rPr>
          <w:rFonts w:ascii="Arial" w:hAnsi="Arial"/>
          <w:i/>
          <w:iCs/>
        </w:rPr>
        <w:t xml:space="preserve"> et </w:t>
      </w:r>
      <w:r w:rsidR="00405497">
        <w:rPr>
          <w:rFonts w:ascii="Arial" w:hAnsi="Arial"/>
          <w:i/>
          <w:iCs/>
        </w:rPr>
        <w:t xml:space="preserve">le </w:t>
      </w:r>
      <w:r>
        <w:rPr>
          <w:rFonts w:ascii="Arial" w:hAnsi="Arial"/>
          <w:i/>
          <w:iCs/>
        </w:rPr>
        <w:t>nombre de</w:t>
      </w:r>
      <w:r w:rsidRPr="00900CAA">
        <w:rPr>
          <w:rFonts w:ascii="Arial" w:hAnsi="Arial"/>
          <w:i/>
          <w:iCs/>
        </w:rPr>
        <w:t xml:space="preserve"> don</w:t>
      </w:r>
      <w:r>
        <w:rPr>
          <w:rFonts w:ascii="Arial" w:hAnsi="Arial"/>
          <w:i/>
          <w:iCs/>
        </w:rPr>
        <w:t>s</w:t>
      </w:r>
      <w:r w:rsidRPr="00900CAA">
        <w:rPr>
          <w:rFonts w:ascii="Arial" w:hAnsi="Arial"/>
          <w:i/>
          <w:iCs/>
        </w:rPr>
        <w:t>, prêt</w:t>
      </w:r>
      <w:r>
        <w:rPr>
          <w:rFonts w:ascii="Arial" w:hAnsi="Arial"/>
          <w:i/>
          <w:iCs/>
        </w:rPr>
        <w:t>s et</w:t>
      </w:r>
      <w:r w:rsidRPr="00900CAA">
        <w:rPr>
          <w:rFonts w:ascii="Arial" w:hAnsi="Arial"/>
          <w:i/>
          <w:iCs/>
        </w:rPr>
        <w:t xml:space="preserve"> investissement</w:t>
      </w:r>
      <w:r>
        <w:rPr>
          <w:rFonts w:ascii="Arial" w:hAnsi="Arial"/>
          <w:i/>
          <w:iCs/>
        </w:rPr>
        <w:t>s</w:t>
      </w:r>
      <w:r w:rsidRPr="00900CAA">
        <w:rPr>
          <w:rFonts w:ascii="Arial" w:hAnsi="Arial"/>
          <w:i/>
          <w:iCs/>
        </w:rPr>
        <w:t xml:space="preserve"> confirm</w:t>
      </w:r>
      <w:r>
        <w:rPr>
          <w:rFonts w:ascii="Arial" w:hAnsi="Arial"/>
          <w:i/>
          <w:iCs/>
        </w:rPr>
        <w:t>e</w:t>
      </w:r>
      <w:r w:rsidRPr="00900CAA">
        <w:rPr>
          <w:rFonts w:ascii="Arial" w:hAnsi="Arial"/>
          <w:i/>
          <w:iCs/>
        </w:rPr>
        <w:t xml:space="preserve">nt l’attrait fort des particuliers que </w:t>
      </w:r>
      <w:r>
        <w:rPr>
          <w:rFonts w:ascii="Arial" w:hAnsi="Arial"/>
          <w:i/>
          <w:iCs/>
        </w:rPr>
        <w:t>nous</w:t>
      </w:r>
      <w:r w:rsidRPr="00900CAA">
        <w:rPr>
          <w:rFonts w:ascii="Arial" w:hAnsi="Arial"/>
          <w:i/>
          <w:iCs/>
        </w:rPr>
        <w:t xml:space="preserve"> remerci</w:t>
      </w:r>
      <w:r>
        <w:rPr>
          <w:rFonts w:ascii="Arial" w:hAnsi="Arial"/>
          <w:i/>
          <w:iCs/>
        </w:rPr>
        <w:t>ons</w:t>
      </w:r>
      <w:r w:rsidRPr="00900CAA">
        <w:rPr>
          <w:rFonts w:ascii="Arial" w:hAnsi="Arial"/>
          <w:i/>
          <w:iCs/>
        </w:rPr>
        <w:t xml:space="preserve"> chaleureusement pour leur contribution au développement </w:t>
      </w:r>
      <w:r>
        <w:rPr>
          <w:rFonts w:ascii="Arial" w:hAnsi="Arial"/>
          <w:i/>
          <w:iCs/>
        </w:rPr>
        <w:t>de ces projets</w:t>
      </w:r>
      <w:r w:rsidRPr="00900CAA">
        <w:rPr>
          <w:rFonts w:ascii="Arial" w:hAnsi="Arial"/>
          <w:i/>
          <w:iCs/>
        </w:rPr>
        <w:t xml:space="preserve">. </w:t>
      </w:r>
    </w:p>
    <w:p w14:paraId="1AF0B55B" w14:textId="6F230EF4" w:rsidR="00723AF6" w:rsidRDefault="00723AF6" w:rsidP="00723AF6">
      <w:pPr>
        <w:spacing w:after="0" w:line="240" w:lineRule="auto"/>
        <w:jc w:val="both"/>
        <w:rPr>
          <w:rFonts w:ascii="Arial" w:hAnsi="Arial"/>
          <w:b/>
          <w:bCs/>
        </w:rPr>
      </w:pPr>
      <w:r w:rsidRPr="00900CAA">
        <w:rPr>
          <w:rFonts w:ascii="Arial" w:hAnsi="Arial"/>
          <w:i/>
          <w:iCs/>
        </w:rPr>
        <w:t xml:space="preserve">En 2020, le financement participatif a une nouvelle fois prouvé, notamment via la distribution du PGE aux TPE/PME, sa crédibilité dans les circuits de financement de l’économie. </w:t>
      </w:r>
      <w:r>
        <w:rPr>
          <w:rFonts w:ascii="Arial" w:hAnsi="Arial"/>
          <w:i/>
          <w:iCs/>
        </w:rPr>
        <w:t>Il faut ajouter à cela</w:t>
      </w:r>
      <w:r w:rsidRPr="00900CAA">
        <w:rPr>
          <w:rFonts w:ascii="Arial" w:hAnsi="Arial"/>
          <w:i/>
          <w:iCs/>
        </w:rPr>
        <w:t xml:space="preserve"> les magnifiques élans de solidarité locaux et nationaux engagés sur les plateformes depuis le mois de mars 2020</w:t>
      </w:r>
      <w:r w:rsidR="006D15E9">
        <w:rPr>
          <w:rFonts w:ascii="Arial" w:hAnsi="Arial"/>
          <w:i/>
          <w:iCs/>
        </w:rPr>
        <w:t xml:space="preserve"> </w:t>
      </w:r>
      <w:r w:rsidRPr="00900CAA">
        <w:rPr>
          <w:rFonts w:ascii="Arial" w:hAnsi="Arial"/>
        </w:rPr>
        <w:t>»</w:t>
      </w:r>
      <w:r w:rsidRPr="00900CAA">
        <w:rPr>
          <w:rFonts w:ascii="Arial" w:hAnsi="Arial"/>
          <w:b/>
          <w:bCs/>
        </w:rPr>
        <w:t>.</w:t>
      </w:r>
    </w:p>
    <w:p w14:paraId="1F6A1391" w14:textId="77777777" w:rsidR="00723AF6" w:rsidRPr="00900CAA" w:rsidRDefault="00723AF6" w:rsidP="00723AF6">
      <w:pPr>
        <w:spacing w:after="0" w:line="240" w:lineRule="auto"/>
        <w:jc w:val="both"/>
        <w:rPr>
          <w:rFonts w:ascii="Arial" w:hAnsi="Arial"/>
        </w:rPr>
      </w:pPr>
    </w:p>
    <w:p w14:paraId="437D5B4C" w14:textId="39A8FD27" w:rsidR="00723AF6" w:rsidRDefault="00723AF6" w:rsidP="00723AF6">
      <w:pPr>
        <w:spacing w:after="0" w:line="240" w:lineRule="auto"/>
        <w:jc w:val="both"/>
        <w:rPr>
          <w:rFonts w:ascii="Arial" w:hAnsi="Arial"/>
          <w:i/>
          <w:iCs/>
        </w:rPr>
      </w:pPr>
      <w:r w:rsidRPr="00900CAA">
        <w:rPr>
          <w:rFonts w:ascii="Arial" w:hAnsi="Arial"/>
          <w:b/>
          <w:bCs/>
        </w:rPr>
        <w:t>Bertrand Desportes, Associé Mazars</w:t>
      </w:r>
      <w:r>
        <w:rPr>
          <w:rFonts w:ascii="Arial" w:hAnsi="Arial"/>
          <w:b/>
          <w:bCs/>
        </w:rPr>
        <w:t xml:space="preserve"> en France</w:t>
      </w:r>
      <w:r>
        <w:rPr>
          <w:rFonts w:ascii="Arial" w:hAnsi="Arial"/>
        </w:rPr>
        <w:t>, ajoute :</w:t>
      </w:r>
      <w:r w:rsidRPr="00900CAA">
        <w:rPr>
          <w:rFonts w:ascii="Arial" w:hAnsi="Arial"/>
        </w:rPr>
        <w:t xml:space="preserve"> « </w:t>
      </w:r>
      <w:r w:rsidRPr="00900CAA">
        <w:rPr>
          <w:rFonts w:ascii="Arial" w:hAnsi="Arial"/>
          <w:i/>
          <w:iCs/>
        </w:rPr>
        <w:t xml:space="preserve">Le crowdfunding réalise une année record en 2020 et démontre une vraie adéquation </w:t>
      </w:r>
      <w:r>
        <w:rPr>
          <w:rFonts w:ascii="Arial" w:hAnsi="Arial"/>
          <w:i/>
          <w:iCs/>
        </w:rPr>
        <w:t>entre</w:t>
      </w:r>
      <w:r w:rsidRPr="00900CAA">
        <w:rPr>
          <w:rFonts w:ascii="Arial" w:hAnsi="Arial"/>
          <w:i/>
          <w:iCs/>
        </w:rPr>
        <w:t xml:space="preserve"> les </w:t>
      </w:r>
      <w:r>
        <w:rPr>
          <w:rFonts w:ascii="Arial" w:hAnsi="Arial"/>
          <w:i/>
          <w:iCs/>
        </w:rPr>
        <w:t>demandes</w:t>
      </w:r>
      <w:r w:rsidRPr="00900CAA">
        <w:rPr>
          <w:rFonts w:ascii="Arial" w:hAnsi="Arial"/>
          <w:i/>
          <w:iCs/>
        </w:rPr>
        <w:t xml:space="preserve"> des porteurs de projet et </w:t>
      </w:r>
      <w:r>
        <w:rPr>
          <w:rFonts w:ascii="Arial" w:hAnsi="Arial"/>
          <w:i/>
          <w:iCs/>
        </w:rPr>
        <w:t>les aspirations d</w:t>
      </w:r>
      <w:r w:rsidRPr="00900CAA">
        <w:rPr>
          <w:rFonts w:ascii="Arial" w:hAnsi="Arial"/>
          <w:i/>
          <w:iCs/>
        </w:rPr>
        <w:t xml:space="preserve">es épargnants. </w:t>
      </w:r>
      <w:r>
        <w:rPr>
          <w:rFonts w:ascii="Arial" w:hAnsi="Arial"/>
          <w:i/>
          <w:iCs/>
        </w:rPr>
        <w:t xml:space="preserve">La </w:t>
      </w:r>
      <w:r w:rsidRPr="00900CAA">
        <w:rPr>
          <w:rFonts w:ascii="Arial" w:hAnsi="Arial"/>
          <w:i/>
          <w:iCs/>
        </w:rPr>
        <w:t>transparence,</w:t>
      </w:r>
      <w:r>
        <w:rPr>
          <w:rFonts w:ascii="Arial" w:hAnsi="Arial"/>
          <w:i/>
          <w:iCs/>
        </w:rPr>
        <w:t xml:space="preserve"> la</w:t>
      </w:r>
      <w:r w:rsidRPr="00900CAA">
        <w:rPr>
          <w:rFonts w:ascii="Arial" w:hAnsi="Arial"/>
          <w:i/>
          <w:iCs/>
        </w:rPr>
        <w:t xml:space="preserve"> proximité</w:t>
      </w:r>
      <w:r>
        <w:rPr>
          <w:rFonts w:ascii="Arial" w:hAnsi="Arial"/>
          <w:i/>
          <w:iCs/>
        </w:rPr>
        <w:t xml:space="preserve"> et la simplicité offerte par le digital</w:t>
      </w:r>
      <w:r w:rsidRPr="00900CAA">
        <w:rPr>
          <w:rFonts w:ascii="Arial" w:hAnsi="Arial"/>
          <w:i/>
          <w:iCs/>
        </w:rPr>
        <w:t xml:space="preserve"> constitue</w:t>
      </w:r>
      <w:r w:rsidR="00405497">
        <w:rPr>
          <w:rFonts w:ascii="Arial" w:hAnsi="Arial"/>
          <w:i/>
          <w:iCs/>
        </w:rPr>
        <w:t>nt</w:t>
      </w:r>
      <w:r w:rsidRPr="00900CAA">
        <w:rPr>
          <w:rFonts w:ascii="Arial" w:hAnsi="Arial"/>
          <w:i/>
          <w:iCs/>
        </w:rPr>
        <w:t xml:space="preserve"> la force du financement participatif</w:t>
      </w:r>
      <w:r>
        <w:rPr>
          <w:rFonts w:ascii="Arial" w:hAnsi="Arial"/>
          <w:i/>
          <w:iCs/>
        </w:rPr>
        <w:t>,</w:t>
      </w:r>
      <w:r w:rsidRPr="00900CAA">
        <w:rPr>
          <w:rFonts w:ascii="Arial" w:hAnsi="Arial"/>
          <w:i/>
          <w:iCs/>
        </w:rPr>
        <w:t xml:space="preserve"> </w:t>
      </w:r>
      <w:r>
        <w:rPr>
          <w:rFonts w:ascii="Arial" w:hAnsi="Arial"/>
          <w:i/>
          <w:iCs/>
        </w:rPr>
        <w:t xml:space="preserve">un écosystème </w:t>
      </w:r>
      <w:r w:rsidRPr="00900CAA">
        <w:rPr>
          <w:rFonts w:ascii="Arial" w:hAnsi="Arial"/>
          <w:i/>
          <w:iCs/>
        </w:rPr>
        <w:t xml:space="preserve">qui séduit à la fois les chefs d’entreprise, le monde associatif, les investisseurs et les donateurs. </w:t>
      </w:r>
    </w:p>
    <w:p w14:paraId="3B24403C" w14:textId="77777777" w:rsidR="00723AF6" w:rsidRDefault="00723AF6" w:rsidP="00723AF6">
      <w:pPr>
        <w:spacing w:after="0" w:line="240" w:lineRule="auto"/>
        <w:jc w:val="both"/>
        <w:rPr>
          <w:rFonts w:ascii="Arial" w:hAnsi="Arial"/>
          <w:i/>
          <w:iCs/>
        </w:rPr>
      </w:pPr>
      <w:r w:rsidRPr="00900CAA">
        <w:rPr>
          <w:rFonts w:ascii="Arial" w:hAnsi="Arial"/>
          <w:i/>
          <w:iCs/>
        </w:rPr>
        <w:t xml:space="preserve">Le crowdfunding joue indéniablement son rôle de financeur alternatif et intervient de plus en plus en complémentarité avec les banques et les fonds d’investissement dans les territoires. Tous les secteurs d’activité sont aujourd’hui concernés : des plus traditionnels aux plus innovants. </w:t>
      </w:r>
    </w:p>
    <w:p w14:paraId="78C11E87" w14:textId="75882901" w:rsidR="00723AF6" w:rsidRPr="00900CAA" w:rsidRDefault="00723AF6" w:rsidP="00723AF6">
      <w:pPr>
        <w:spacing w:after="0" w:line="240" w:lineRule="auto"/>
        <w:jc w:val="both"/>
        <w:rPr>
          <w:rFonts w:ascii="Arial" w:hAnsi="Arial"/>
        </w:rPr>
      </w:pPr>
      <w:r w:rsidRPr="00900CAA">
        <w:rPr>
          <w:rFonts w:ascii="Arial" w:hAnsi="Arial"/>
          <w:i/>
          <w:iCs/>
        </w:rPr>
        <w:t>Enfin, et c’est l’un des principaux enseignements de cette année, le crowdfunding s’affirme comme un outil de générosité particulièrement efficace qui a permis de déployer des campagnes solidaires remarquables au cours la période de crise sanitaire et économique que nous traversons »</w:t>
      </w:r>
      <w:r w:rsidR="006D15E9">
        <w:rPr>
          <w:rFonts w:ascii="Arial" w:hAnsi="Arial"/>
          <w:i/>
          <w:iCs/>
        </w:rPr>
        <w:t>.</w:t>
      </w:r>
      <w:r w:rsidRPr="00900CAA">
        <w:rPr>
          <w:rFonts w:ascii="Arial" w:hAnsi="Arial"/>
        </w:rPr>
        <w:t xml:space="preserve"> </w:t>
      </w:r>
    </w:p>
    <w:p w14:paraId="23BD0DFE" w14:textId="77777777" w:rsidR="00723AF6" w:rsidRPr="00900CAA" w:rsidRDefault="00723AF6" w:rsidP="00723AF6">
      <w:pPr>
        <w:spacing w:after="0" w:line="240" w:lineRule="auto"/>
        <w:jc w:val="both"/>
        <w:rPr>
          <w:rFonts w:ascii="Arial" w:hAnsi="Arial"/>
        </w:rPr>
      </w:pPr>
    </w:p>
    <w:p w14:paraId="49ADF6C6" w14:textId="77777777" w:rsidR="00723AF6" w:rsidRPr="00900CAA" w:rsidRDefault="00723AF6" w:rsidP="006D15E9">
      <w:pPr>
        <w:spacing w:after="0" w:line="240" w:lineRule="auto"/>
        <w:jc w:val="both"/>
        <w:rPr>
          <w:rFonts w:ascii="Arial" w:hAnsi="Arial"/>
        </w:rPr>
      </w:pPr>
    </w:p>
    <w:p w14:paraId="52DBE069" w14:textId="6D9F308E" w:rsidR="00900CAA" w:rsidRDefault="00900CAA" w:rsidP="00900CAA">
      <w:pPr>
        <w:spacing w:after="0" w:line="240" w:lineRule="auto"/>
        <w:jc w:val="both"/>
        <w:rPr>
          <w:rFonts w:ascii="Arial" w:hAnsi="Arial"/>
        </w:rPr>
      </w:pPr>
    </w:p>
    <w:p w14:paraId="729BD479" w14:textId="77777777" w:rsidR="00897355" w:rsidRPr="00026D18" w:rsidRDefault="00897355" w:rsidP="00897355">
      <w:pPr>
        <w:spacing w:after="0" w:line="240" w:lineRule="auto"/>
        <w:jc w:val="center"/>
        <w:rPr>
          <w:rFonts w:ascii="Arial" w:eastAsia="Calibri" w:hAnsi="Arial" w:cs="Arial"/>
          <w:b/>
        </w:rPr>
      </w:pPr>
      <w:r w:rsidRPr="00026D18">
        <w:rPr>
          <w:rFonts w:ascii="Arial" w:hAnsi="Arial"/>
          <w:b/>
        </w:rPr>
        <w:t>###</w:t>
      </w:r>
    </w:p>
    <w:p w14:paraId="0F16A3F0" w14:textId="77777777" w:rsidR="00897355" w:rsidRPr="00900CAA" w:rsidRDefault="00897355" w:rsidP="00900CAA">
      <w:pPr>
        <w:spacing w:after="0" w:line="240" w:lineRule="auto"/>
        <w:jc w:val="both"/>
        <w:rPr>
          <w:rFonts w:ascii="Arial" w:hAnsi="Arial"/>
        </w:rPr>
      </w:pPr>
    </w:p>
    <w:p w14:paraId="583CEC18" w14:textId="143CD7F5" w:rsidR="00900CAA" w:rsidRPr="00900CAA" w:rsidRDefault="00900CAA" w:rsidP="00900CAA">
      <w:pPr>
        <w:spacing w:after="0" w:line="240" w:lineRule="auto"/>
        <w:jc w:val="both"/>
        <w:rPr>
          <w:rFonts w:ascii="Arial" w:hAnsi="Arial"/>
          <w:b/>
          <w:bCs/>
        </w:rPr>
      </w:pPr>
    </w:p>
    <w:p w14:paraId="343A274A" w14:textId="77777777" w:rsidR="00900CAA" w:rsidRPr="00900CAA" w:rsidRDefault="00900CAA" w:rsidP="00900CAA">
      <w:pPr>
        <w:spacing w:after="0" w:line="240" w:lineRule="auto"/>
        <w:jc w:val="both"/>
        <w:rPr>
          <w:rFonts w:ascii="Arial" w:hAnsi="Arial"/>
          <w:b/>
          <w:bCs/>
        </w:rPr>
      </w:pPr>
      <w:r w:rsidRPr="00900CAA">
        <w:rPr>
          <w:rFonts w:ascii="Arial" w:hAnsi="Arial"/>
          <w:b/>
          <w:bCs/>
        </w:rPr>
        <w:t>Méthodologie</w:t>
      </w:r>
    </w:p>
    <w:p w14:paraId="3602222B" w14:textId="77777777" w:rsidR="00900CAA" w:rsidRPr="00900CAA" w:rsidRDefault="00900CAA" w:rsidP="00900CAA">
      <w:pPr>
        <w:spacing w:after="0" w:line="240" w:lineRule="auto"/>
        <w:jc w:val="both"/>
        <w:rPr>
          <w:rFonts w:ascii="Arial" w:hAnsi="Arial"/>
        </w:rPr>
      </w:pPr>
      <w:r w:rsidRPr="00900CAA">
        <w:rPr>
          <w:rFonts w:ascii="Arial" w:hAnsi="Arial"/>
        </w:rPr>
        <w:t>Ce baromètre se fonde sur les données déclaratives communiquées entre le 11 et le 28 janvier 2021 par les 60 plateformes qui représentent l’essentiel de l’écosystème du financement participatif en termes de volumes traités. Données complétées par les informations publiques de plateformes n’ayant pas répondues à l’enquête.</w:t>
      </w:r>
    </w:p>
    <w:p w14:paraId="0AE58EC3" w14:textId="77777777" w:rsidR="00900CAA" w:rsidRPr="00900CAA" w:rsidRDefault="00900CAA" w:rsidP="00900CAA">
      <w:pPr>
        <w:spacing w:after="0" w:line="240" w:lineRule="auto"/>
        <w:jc w:val="both"/>
        <w:rPr>
          <w:rFonts w:ascii="Arial" w:hAnsi="Arial"/>
        </w:rPr>
      </w:pPr>
    </w:p>
    <w:p w14:paraId="23A278BA" w14:textId="77777777" w:rsidR="00900CAA" w:rsidRPr="00900CAA" w:rsidRDefault="00900CAA" w:rsidP="00900CAA">
      <w:pPr>
        <w:spacing w:after="0" w:line="240" w:lineRule="auto"/>
        <w:jc w:val="both"/>
        <w:rPr>
          <w:rFonts w:ascii="Arial" w:hAnsi="Arial"/>
          <w:b/>
          <w:bCs/>
        </w:rPr>
      </w:pPr>
      <w:r w:rsidRPr="00900CAA">
        <w:rPr>
          <w:rFonts w:ascii="Arial" w:hAnsi="Arial"/>
          <w:b/>
          <w:bCs/>
        </w:rPr>
        <w:t>Profil des répondants</w:t>
      </w:r>
    </w:p>
    <w:p w14:paraId="76DCB977" w14:textId="2304891A" w:rsidR="00900CAA" w:rsidRPr="00900CAA" w:rsidRDefault="00900CAA" w:rsidP="00900CAA">
      <w:pPr>
        <w:spacing w:after="0" w:line="240" w:lineRule="auto"/>
        <w:jc w:val="both"/>
        <w:rPr>
          <w:rFonts w:ascii="Arial" w:hAnsi="Arial"/>
        </w:rPr>
      </w:pPr>
      <w:r w:rsidRPr="00900CAA">
        <w:rPr>
          <w:rFonts w:ascii="Arial" w:hAnsi="Arial"/>
        </w:rPr>
        <w:t xml:space="preserve">100 réponses pour la catégorie financement participatif, dont 27 en don (12 en don sans récompense et 15 en don avec récompense), 53 en prêt (2 en prêt non-rémunéré, 11 en prêt rémunéré, 3 en prêt garanti par l’État, 5 en </w:t>
      </w:r>
      <w:proofErr w:type="spellStart"/>
      <w:r w:rsidRPr="00900CAA">
        <w:rPr>
          <w:rFonts w:ascii="Arial" w:hAnsi="Arial"/>
        </w:rPr>
        <w:t>minibon</w:t>
      </w:r>
      <w:proofErr w:type="spellEnd"/>
      <w:r w:rsidRPr="00900CAA">
        <w:rPr>
          <w:rFonts w:ascii="Arial" w:hAnsi="Arial"/>
        </w:rPr>
        <w:t xml:space="preserve">, 32 en obligation) et 18 en investissement (17 en capital et 1 en royalties) et 2 réponses pour la catégorie fonds de prêt aux entreprises. Total de 100 réponses pour 60 plateformes. Les réponses des plateformes sont pondérées par le volume des fonds qu’elles collectent. Une plateforme peut avoir plusieurs modèles transactionnels. </w:t>
      </w:r>
    </w:p>
    <w:p w14:paraId="05168D5B" w14:textId="4D399D3F" w:rsidR="006D15E9" w:rsidRDefault="006D15E9" w:rsidP="006D15E9">
      <w:pPr>
        <w:spacing w:after="0" w:line="240" w:lineRule="auto"/>
        <w:rPr>
          <w:rFonts w:ascii="Arial" w:eastAsia="Calibri" w:hAnsi="Arial" w:cs="Arial"/>
          <w:b/>
        </w:rPr>
      </w:pPr>
    </w:p>
    <w:p w14:paraId="365254C7" w14:textId="0F8B166F" w:rsidR="006D15E9" w:rsidRDefault="006D15E9" w:rsidP="006D15E9">
      <w:pPr>
        <w:spacing w:after="0" w:line="240" w:lineRule="auto"/>
        <w:rPr>
          <w:rFonts w:ascii="Arial" w:eastAsia="Calibri" w:hAnsi="Arial" w:cs="Arial"/>
          <w:b/>
        </w:rPr>
      </w:pPr>
    </w:p>
    <w:p w14:paraId="648092DE" w14:textId="77777777" w:rsidR="006D15E9" w:rsidRDefault="006D15E9" w:rsidP="00F42D42">
      <w:pPr>
        <w:spacing w:after="0" w:line="240" w:lineRule="auto"/>
        <w:rPr>
          <w:rFonts w:ascii="Arial" w:eastAsia="Calibri" w:hAnsi="Arial" w:cs="Arial"/>
          <w:b/>
        </w:rPr>
      </w:pPr>
    </w:p>
    <w:p w14:paraId="150153FB" w14:textId="3546498E" w:rsidR="009A4190" w:rsidRPr="00DA5EEE" w:rsidRDefault="009A4190" w:rsidP="00F42D42">
      <w:pPr>
        <w:spacing w:after="0" w:line="240" w:lineRule="auto"/>
        <w:rPr>
          <w:rFonts w:ascii="Arial" w:hAnsi="Arial"/>
          <w:b/>
        </w:rPr>
      </w:pPr>
      <w:r w:rsidRPr="00DA5EEE">
        <w:rPr>
          <w:rFonts w:ascii="Arial" w:hAnsi="Arial"/>
          <w:b/>
        </w:rPr>
        <w:t>Contacts</w:t>
      </w:r>
      <w:r w:rsidR="00900CAA" w:rsidRPr="00DA5EEE">
        <w:rPr>
          <w:rFonts w:ascii="Arial" w:hAnsi="Arial"/>
          <w:b/>
        </w:rPr>
        <w:t xml:space="preserve"> presse</w:t>
      </w:r>
    </w:p>
    <w:p w14:paraId="04FD2D6D" w14:textId="77777777" w:rsidR="00900CAA" w:rsidRPr="00DA5EEE" w:rsidRDefault="00900CAA" w:rsidP="00F42D42">
      <w:pPr>
        <w:spacing w:after="0" w:line="240" w:lineRule="auto"/>
        <w:rPr>
          <w:rFonts w:ascii="Arial" w:hAnsi="Arial"/>
          <w:b/>
        </w:rPr>
      </w:pPr>
    </w:p>
    <w:p w14:paraId="5D5EBD80" w14:textId="3DECFD6B" w:rsidR="00473739" w:rsidRPr="00DA5EEE" w:rsidRDefault="00900CAA" w:rsidP="00473739">
      <w:pPr>
        <w:spacing w:after="0" w:line="240" w:lineRule="auto"/>
        <w:jc w:val="both"/>
        <w:textAlignment w:val="baseline"/>
        <w:rPr>
          <w:rFonts w:ascii="Arial" w:hAnsi="Arial" w:cs="Arial"/>
          <w:b/>
          <w:bCs/>
          <w:iCs/>
          <w:szCs w:val="20"/>
        </w:rPr>
      </w:pPr>
      <w:r w:rsidRPr="00DA5EEE">
        <w:rPr>
          <w:rFonts w:ascii="Arial" w:hAnsi="Arial" w:cs="Arial"/>
          <w:b/>
          <w:bCs/>
          <w:iCs/>
          <w:szCs w:val="20"/>
        </w:rPr>
        <w:t xml:space="preserve">Agence </w:t>
      </w:r>
      <w:r w:rsidR="00473739" w:rsidRPr="00DA5EEE">
        <w:rPr>
          <w:rFonts w:ascii="Arial" w:hAnsi="Arial" w:cs="Arial"/>
          <w:b/>
          <w:bCs/>
          <w:iCs/>
          <w:szCs w:val="20"/>
        </w:rPr>
        <w:t xml:space="preserve">Shan </w:t>
      </w:r>
      <w:r w:rsidRPr="00DA5EEE">
        <w:rPr>
          <w:rFonts w:ascii="Arial" w:hAnsi="Arial" w:cs="Arial"/>
          <w:b/>
          <w:bCs/>
          <w:iCs/>
          <w:szCs w:val="20"/>
        </w:rPr>
        <w:t>pour Mazars</w:t>
      </w:r>
    </w:p>
    <w:p w14:paraId="3B4BF84E" w14:textId="59D6B98F" w:rsidR="00473739" w:rsidRDefault="00473739" w:rsidP="00473739">
      <w:pPr>
        <w:spacing w:after="0"/>
        <w:jc w:val="both"/>
        <w:rPr>
          <w:rFonts w:ascii="Arial" w:hAnsi="Arial" w:cs="Arial"/>
          <w:b/>
          <w:bCs/>
          <w:iCs/>
          <w:szCs w:val="20"/>
        </w:rPr>
      </w:pPr>
      <w:r>
        <w:rPr>
          <w:rFonts w:ascii="Arial" w:hAnsi="Arial" w:cs="Arial"/>
          <w:bCs/>
          <w:iCs/>
          <w:szCs w:val="20"/>
        </w:rPr>
        <w:t>Vanessa Talbi – Directeur Conseil – 06 11 54 20</w:t>
      </w:r>
      <w:r w:rsidR="00EC485A">
        <w:rPr>
          <w:rFonts w:ascii="Arial" w:hAnsi="Arial" w:cs="Arial"/>
          <w:bCs/>
          <w:iCs/>
          <w:szCs w:val="20"/>
        </w:rPr>
        <w:t xml:space="preserve"> 65</w:t>
      </w:r>
      <w:r>
        <w:rPr>
          <w:rFonts w:ascii="Arial" w:hAnsi="Arial" w:cs="Arial"/>
          <w:bCs/>
          <w:iCs/>
          <w:szCs w:val="20"/>
        </w:rPr>
        <w:t xml:space="preserve"> – </w:t>
      </w:r>
      <w:hyperlink r:id="rId12" w:history="1">
        <w:r>
          <w:rPr>
            <w:rStyle w:val="Lienhypertexte"/>
            <w:rFonts w:ascii="Arial" w:hAnsi="Arial" w:cs="Arial"/>
            <w:bCs/>
            <w:iCs/>
            <w:szCs w:val="20"/>
          </w:rPr>
          <w:t>mazars@shan.fr</w:t>
        </w:r>
      </w:hyperlink>
      <w:r>
        <w:rPr>
          <w:rFonts w:ascii="Arial" w:hAnsi="Arial" w:cs="Arial"/>
          <w:bCs/>
          <w:iCs/>
          <w:szCs w:val="20"/>
        </w:rPr>
        <w:t xml:space="preserve"> </w:t>
      </w:r>
    </w:p>
    <w:p w14:paraId="454F7161" w14:textId="2F2254F2" w:rsidR="00730BAE" w:rsidRPr="00900CAA" w:rsidRDefault="00730BAE" w:rsidP="00730BAE">
      <w:pPr>
        <w:spacing w:after="0"/>
        <w:jc w:val="both"/>
        <w:rPr>
          <w:rFonts w:ascii="Arial" w:hAnsi="Arial" w:cs="Arial"/>
          <w:b/>
          <w:bCs/>
          <w:iCs/>
          <w:szCs w:val="20"/>
          <w:lang w:val="en-US"/>
        </w:rPr>
      </w:pPr>
      <w:r w:rsidRPr="00900CAA">
        <w:rPr>
          <w:rFonts w:ascii="Arial" w:hAnsi="Arial" w:cs="Arial"/>
          <w:bCs/>
          <w:iCs/>
          <w:szCs w:val="20"/>
          <w:lang w:val="en-US"/>
        </w:rPr>
        <w:t xml:space="preserve">Simon Lozach – Consultant – 06 28 03 68 32 – </w:t>
      </w:r>
      <w:hyperlink r:id="rId13" w:history="1">
        <w:r w:rsidRPr="00900CAA">
          <w:rPr>
            <w:rStyle w:val="Lienhypertexte"/>
            <w:rFonts w:ascii="Arial" w:hAnsi="Arial" w:cs="Arial"/>
            <w:bCs/>
            <w:iCs/>
            <w:szCs w:val="20"/>
            <w:lang w:val="en-US"/>
          </w:rPr>
          <w:t>mazars@shan.fr</w:t>
        </w:r>
      </w:hyperlink>
      <w:r w:rsidRPr="00900CAA">
        <w:rPr>
          <w:rFonts w:ascii="Arial" w:hAnsi="Arial" w:cs="Arial"/>
          <w:bCs/>
          <w:iCs/>
          <w:szCs w:val="20"/>
          <w:lang w:val="en-US"/>
        </w:rPr>
        <w:t xml:space="preserve"> </w:t>
      </w:r>
    </w:p>
    <w:p w14:paraId="6C819AFB" w14:textId="77777777" w:rsidR="00473739" w:rsidRPr="00900CAA" w:rsidRDefault="00473739" w:rsidP="00473739">
      <w:pPr>
        <w:spacing w:after="0"/>
        <w:jc w:val="both"/>
        <w:rPr>
          <w:rFonts w:ascii="Arial" w:hAnsi="Arial" w:cs="Arial"/>
          <w:b/>
          <w:bCs/>
          <w:iCs/>
          <w:szCs w:val="20"/>
          <w:lang w:val="en-US"/>
        </w:rPr>
      </w:pPr>
    </w:p>
    <w:p w14:paraId="4323766F" w14:textId="77777777" w:rsidR="00473739" w:rsidRPr="00900CAA" w:rsidRDefault="00473739" w:rsidP="00473739">
      <w:pPr>
        <w:spacing w:after="0"/>
        <w:jc w:val="both"/>
        <w:rPr>
          <w:rFonts w:ascii="Arial" w:hAnsi="Arial" w:cs="Arial"/>
          <w:b/>
          <w:bCs/>
          <w:iCs/>
          <w:szCs w:val="20"/>
          <w:lang w:val="en-US"/>
        </w:rPr>
      </w:pPr>
      <w:r w:rsidRPr="00900CAA">
        <w:rPr>
          <w:rFonts w:ascii="Arial" w:hAnsi="Arial" w:cs="Arial"/>
          <w:b/>
          <w:bCs/>
          <w:iCs/>
          <w:szCs w:val="20"/>
          <w:lang w:val="en-US"/>
        </w:rPr>
        <w:t>Mazars</w:t>
      </w:r>
    </w:p>
    <w:p w14:paraId="428365DA" w14:textId="77777777" w:rsidR="00473739" w:rsidRDefault="00473739" w:rsidP="00473739">
      <w:pPr>
        <w:spacing w:after="0"/>
        <w:jc w:val="both"/>
        <w:rPr>
          <w:rFonts w:ascii="Arial" w:hAnsi="Arial" w:cs="Arial"/>
          <w:bCs/>
          <w:iCs/>
          <w:szCs w:val="20"/>
        </w:rPr>
      </w:pPr>
      <w:r>
        <w:rPr>
          <w:rFonts w:ascii="Arial" w:hAnsi="Arial" w:cs="Arial"/>
          <w:bCs/>
          <w:iCs/>
          <w:szCs w:val="20"/>
        </w:rPr>
        <w:t xml:space="preserve">Nathalie Lagos – Directrice Communication France – 06 65 20 30 08 – </w:t>
      </w:r>
      <w:hyperlink r:id="rId14" w:history="1">
        <w:r>
          <w:rPr>
            <w:rStyle w:val="Lienhypertexte"/>
            <w:rFonts w:ascii="Arial" w:hAnsi="Arial" w:cs="Arial"/>
            <w:bCs/>
            <w:iCs/>
            <w:szCs w:val="20"/>
          </w:rPr>
          <w:t>nathalie.lagos@mazars.fr</w:t>
        </w:r>
      </w:hyperlink>
      <w:r>
        <w:rPr>
          <w:rFonts w:ascii="Arial" w:hAnsi="Arial" w:cs="Arial"/>
          <w:bCs/>
          <w:iCs/>
          <w:szCs w:val="20"/>
        </w:rPr>
        <w:t xml:space="preserve"> </w:t>
      </w:r>
    </w:p>
    <w:p w14:paraId="53DCCF3C" w14:textId="45E73AC1" w:rsidR="00473739" w:rsidRPr="00473739" w:rsidRDefault="00473739" w:rsidP="00473739">
      <w:pPr>
        <w:spacing w:after="0" w:line="240" w:lineRule="auto"/>
        <w:rPr>
          <w:rFonts w:ascii="Arial" w:eastAsia="Calibri" w:hAnsi="Arial" w:cs="Arial"/>
          <w:b/>
        </w:rPr>
      </w:pPr>
      <w:r>
        <w:rPr>
          <w:rFonts w:ascii="Arial" w:hAnsi="Arial" w:cs="Arial"/>
          <w:bCs/>
          <w:iCs/>
          <w:szCs w:val="20"/>
        </w:rPr>
        <w:t xml:space="preserve">Aurore </w:t>
      </w:r>
      <w:proofErr w:type="spellStart"/>
      <w:r>
        <w:rPr>
          <w:rFonts w:ascii="Arial" w:hAnsi="Arial" w:cs="Arial"/>
          <w:bCs/>
          <w:iCs/>
          <w:szCs w:val="20"/>
        </w:rPr>
        <w:t>Angeli</w:t>
      </w:r>
      <w:proofErr w:type="spellEnd"/>
      <w:r>
        <w:rPr>
          <w:rFonts w:ascii="Arial" w:hAnsi="Arial" w:cs="Arial"/>
          <w:bCs/>
          <w:iCs/>
          <w:szCs w:val="20"/>
        </w:rPr>
        <w:t xml:space="preserve"> – Communication France – 06 03 78 89 84 – </w:t>
      </w:r>
      <w:hyperlink r:id="rId15" w:history="1">
        <w:r>
          <w:rPr>
            <w:rStyle w:val="Lienhypertexte"/>
            <w:rFonts w:ascii="Arial" w:hAnsi="Arial" w:cs="Arial"/>
            <w:bCs/>
            <w:iCs/>
            <w:szCs w:val="20"/>
          </w:rPr>
          <w:t>aurore.angeli@mazars.fr</w:t>
        </w:r>
      </w:hyperlink>
    </w:p>
    <w:p w14:paraId="35BD607F" w14:textId="77777777" w:rsidR="009126FB" w:rsidRPr="00997EA7" w:rsidRDefault="009126FB" w:rsidP="00F42D42">
      <w:pPr>
        <w:spacing w:after="0" w:line="240" w:lineRule="auto"/>
        <w:rPr>
          <w:rFonts w:ascii="Arial" w:eastAsia="Calibri" w:hAnsi="Arial" w:cs="Arial"/>
          <w:bCs/>
        </w:rPr>
      </w:pPr>
    </w:p>
    <w:p w14:paraId="47C2CB8F" w14:textId="77777777" w:rsidR="00900CAA" w:rsidRPr="00900CAA" w:rsidRDefault="00900CAA" w:rsidP="00900CAA">
      <w:pPr>
        <w:spacing w:after="0" w:line="240" w:lineRule="auto"/>
        <w:rPr>
          <w:rFonts w:ascii="Arial" w:hAnsi="Arial"/>
          <w:b/>
          <w:bCs/>
        </w:rPr>
      </w:pPr>
      <w:r w:rsidRPr="00900CAA">
        <w:rPr>
          <w:rFonts w:ascii="Arial" w:hAnsi="Arial"/>
          <w:b/>
          <w:bCs/>
        </w:rPr>
        <w:t>Financement Participatif France</w:t>
      </w:r>
    </w:p>
    <w:p w14:paraId="548AC5C0" w14:textId="1034526A" w:rsidR="00900CAA" w:rsidRPr="00900CAA" w:rsidRDefault="00900CAA" w:rsidP="00900CAA">
      <w:pPr>
        <w:spacing w:after="0" w:line="240" w:lineRule="auto"/>
        <w:rPr>
          <w:rFonts w:ascii="Arial" w:hAnsi="Arial"/>
        </w:rPr>
      </w:pPr>
      <w:r w:rsidRPr="00900CAA">
        <w:rPr>
          <w:rFonts w:ascii="Arial" w:hAnsi="Arial"/>
        </w:rPr>
        <w:t xml:space="preserve">Florence de Maupeou </w:t>
      </w:r>
      <w:r>
        <w:rPr>
          <w:rFonts w:ascii="Arial" w:hAnsi="Arial"/>
        </w:rPr>
        <w:t xml:space="preserve">– </w:t>
      </w:r>
      <w:r w:rsidRPr="00900CAA">
        <w:rPr>
          <w:rFonts w:ascii="Arial" w:hAnsi="Arial"/>
        </w:rPr>
        <w:t xml:space="preserve">Directrice générale </w:t>
      </w:r>
      <w:r>
        <w:rPr>
          <w:rFonts w:ascii="Arial" w:hAnsi="Arial"/>
        </w:rPr>
        <w:t xml:space="preserve">– </w:t>
      </w:r>
      <w:r w:rsidRPr="00900CAA">
        <w:rPr>
          <w:rFonts w:ascii="Arial" w:hAnsi="Arial"/>
        </w:rPr>
        <w:t>01 84 25 10 05</w:t>
      </w:r>
      <w:r>
        <w:rPr>
          <w:rFonts w:ascii="Arial" w:hAnsi="Arial"/>
        </w:rPr>
        <w:t xml:space="preserve"> – </w:t>
      </w:r>
      <w:hyperlink r:id="rId16" w:history="1">
        <w:r w:rsidRPr="00900CAA">
          <w:rPr>
            <w:rStyle w:val="Lienhypertexte"/>
            <w:rFonts w:ascii="Arial" w:hAnsi="Arial"/>
          </w:rPr>
          <w:t>florence.demaupeou@financeparticipative.org</w:t>
        </w:r>
      </w:hyperlink>
    </w:p>
    <w:p w14:paraId="2C60E179" w14:textId="79662168" w:rsidR="00392277" w:rsidRDefault="00392277" w:rsidP="00D75DCE">
      <w:pPr>
        <w:spacing w:after="0" w:line="240" w:lineRule="auto"/>
        <w:rPr>
          <w:rFonts w:ascii="Arial" w:hAnsi="Arial"/>
        </w:rPr>
      </w:pPr>
    </w:p>
    <w:p w14:paraId="5E1C78D5" w14:textId="77777777" w:rsidR="009A4DF3" w:rsidRPr="00997EA7" w:rsidRDefault="009A4DF3" w:rsidP="00D75DCE">
      <w:pPr>
        <w:spacing w:after="0" w:line="240" w:lineRule="auto"/>
        <w:rPr>
          <w:rFonts w:ascii="Arial" w:hAnsi="Arial"/>
        </w:rPr>
      </w:pPr>
    </w:p>
    <w:p w14:paraId="53C52174" w14:textId="77777777" w:rsidR="00473739" w:rsidRPr="008B38EC" w:rsidRDefault="00473739" w:rsidP="00473739">
      <w:pPr>
        <w:spacing w:after="0" w:line="240" w:lineRule="auto"/>
        <w:jc w:val="both"/>
        <w:textAlignment w:val="baseline"/>
        <w:rPr>
          <w:rFonts w:ascii="Arial" w:eastAsia="Times New Roman" w:hAnsi="Arial" w:cs="Arial"/>
          <w:szCs w:val="20"/>
          <w:lang w:eastAsia="en-IE"/>
        </w:rPr>
      </w:pPr>
      <w:r w:rsidRPr="008B38EC">
        <w:rPr>
          <w:rFonts w:ascii="Arial" w:hAnsi="Arial" w:cs="Arial"/>
          <w:b/>
          <w:bCs/>
          <w:szCs w:val="20"/>
          <w:lang w:eastAsia="en-IE"/>
        </w:rPr>
        <w:t>A propos de Mazars</w:t>
      </w:r>
    </w:p>
    <w:p w14:paraId="6E46C061" w14:textId="2B4F4638" w:rsidR="00376BDD" w:rsidRDefault="00376BDD" w:rsidP="00376BDD">
      <w:pPr>
        <w:spacing w:after="0" w:line="240" w:lineRule="auto"/>
        <w:jc w:val="both"/>
        <w:rPr>
          <w:rFonts w:ascii="Arial" w:eastAsia="Times New Roman" w:hAnsi="Arial" w:cs="Arial"/>
          <w:szCs w:val="20"/>
          <w:lang w:eastAsia="fr-FR"/>
        </w:rPr>
      </w:pPr>
      <w:r w:rsidRPr="00376BDD">
        <w:rPr>
          <w:rFonts w:ascii="Arial" w:eastAsia="Times New Roman" w:hAnsi="Arial" w:cs="Arial"/>
          <w:szCs w:val="20"/>
          <w:lang w:eastAsia="fr-FR"/>
        </w:rPr>
        <w:t xml:space="preserve">Mazars est un groupe international et intégré spécialisé dans l’audit, la fiscalité et le conseil ainsi que dans les services comptables et juridiques*. Présents dans plus de 90 pays et territoires à travers le monde, nous nous appuyons sur l’expertise de plus de 42 000 professionnels – plus de 26 000 au sein de notre </w:t>
      </w:r>
      <w:r w:rsidRPr="00376BDD">
        <w:rPr>
          <w:rFonts w:ascii="Arial" w:eastAsia="Times New Roman" w:hAnsi="Arial" w:cs="Arial"/>
          <w:i/>
          <w:iCs/>
          <w:szCs w:val="20"/>
          <w:lang w:eastAsia="fr-FR"/>
        </w:rPr>
        <w:t>partnership</w:t>
      </w:r>
      <w:r w:rsidRPr="00376BDD">
        <w:rPr>
          <w:rFonts w:ascii="Arial" w:eastAsia="Times New Roman" w:hAnsi="Arial" w:cs="Arial"/>
          <w:szCs w:val="20"/>
          <w:lang w:eastAsia="fr-FR"/>
        </w:rPr>
        <w:t xml:space="preserve"> intégré et plus de 16 000 via « Mazars North America Alliance » – pour accompagner les clients de toutes tailles à chaque étape de leur développement. </w:t>
      </w:r>
    </w:p>
    <w:p w14:paraId="1B45AB49" w14:textId="77777777" w:rsidR="00376BDD" w:rsidRPr="00376BDD" w:rsidRDefault="00376BDD" w:rsidP="00376BDD">
      <w:pPr>
        <w:spacing w:after="0" w:line="240" w:lineRule="auto"/>
        <w:jc w:val="both"/>
        <w:rPr>
          <w:rFonts w:ascii="Arial" w:eastAsia="Times New Roman" w:hAnsi="Arial" w:cs="Arial"/>
          <w:sz w:val="16"/>
          <w:szCs w:val="16"/>
          <w:lang w:eastAsia="fr-FR"/>
        </w:rPr>
      </w:pPr>
    </w:p>
    <w:p w14:paraId="38A6F163" w14:textId="5AC8DA4C" w:rsidR="00473739" w:rsidRPr="00376BDD" w:rsidRDefault="00376BDD" w:rsidP="00376BDD">
      <w:pPr>
        <w:spacing w:after="0" w:line="240" w:lineRule="auto"/>
        <w:jc w:val="both"/>
        <w:rPr>
          <w:rFonts w:ascii="Arial" w:eastAsia="Times New Roman" w:hAnsi="Arial" w:cs="Arial"/>
          <w:sz w:val="16"/>
          <w:szCs w:val="16"/>
          <w:lang w:eastAsia="fr-FR"/>
        </w:rPr>
      </w:pPr>
      <w:r w:rsidRPr="00376BDD">
        <w:rPr>
          <w:rFonts w:ascii="Arial" w:eastAsia="Times New Roman" w:hAnsi="Arial" w:cs="Arial"/>
          <w:sz w:val="16"/>
          <w:szCs w:val="16"/>
          <w:lang w:eastAsia="fr-FR"/>
        </w:rPr>
        <w:t>*Dans les pays où les lois en vigueur l’autorisent.</w:t>
      </w:r>
    </w:p>
    <w:p w14:paraId="666B7A16" w14:textId="77777777" w:rsidR="00376BDD" w:rsidRPr="008B38EC" w:rsidRDefault="00376BDD" w:rsidP="00376BDD">
      <w:pPr>
        <w:spacing w:after="0" w:line="240" w:lineRule="auto"/>
        <w:jc w:val="both"/>
        <w:rPr>
          <w:rFonts w:ascii="Arial" w:eastAsia="Times New Roman" w:hAnsi="Arial" w:cs="Arial"/>
          <w:szCs w:val="20"/>
          <w:lang w:eastAsia="fr-FR"/>
        </w:rPr>
      </w:pPr>
    </w:p>
    <w:p w14:paraId="77872FB0" w14:textId="77777777" w:rsidR="00473739" w:rsidRPr="00927821" w:rsidRDefault="00D436F4" w:rsidP="00473739">
      <w:pPr>
        <w:spacing w:after="0" w:line="240" w:lineRule="auto"/>
        <w:jc w:val="both"/>
        <w:rPr>
          <w:rFonts w:ascii="Arial" w:hAnsi="Arial" w:cs="Arial"/>
          <w:lang w:val="en-US"/>
        </w:rPr>
      </w:pPr>
      <w:hyperlink r:id="rId17" w:history="1">
        <w:r w:rsidR="00473739" w:rsidRPr="00927821">
          <w:rPr>
            <w:rStyle w:val="Lienhypertexte"/>
            <w:rFonts w:ascii="Arial" w:hAnsi="Arial" w:cs="Arial"/>
            <w:lang w:val="en-US"/>
          </w:rPr>
          <w:t>http://www.mazars.fr</w:t>
        </w:r>
      </w:hyperlink>
      <w:r w:rsidR="00473739">
        <w:rPr>
          <w:rStyle w:val="Lienhypertexte"/>
          <w:rFonts w:ascii="Arial" w:hAnsi="Arial" w:cs="Arial"/>
          <w:lang w:val="en-US"/>
        </w:rPr>
        <w:t xml:space="preserve"> </w:t>
      </w:r>
      <w:r w:rsidR="00473739" w:rsidRPr="00927821">
        <w:rPr>
          <w:rFonts w:ascii="Arial" w:hAnsi="Arial" w:cs="Arial"/>
          <w:lang w:val="en-US"/>
        </w:rPr>
        <w:t xml:space="preserve">| </w:t>
      </w:r>
      <w:hyperlink r:id="rId18" w:history="1">
        <w:r w:rsidR="00473739" w:rsidRPr="00927821">
          <w:rPr>
            <w:rStyle w:val="Lienhypertexte"/>
            <w:rFonts w:ascii="Arial" w:hAnsi="Arial" w:cs="Arial"/>
            <w:lang w:val="en-US"/>
          </w:rPr>
          <w:t>LinkedIn</w:t>
        </w:r>
      </w:hyperlink>
      <w:r w:rsidR="00473739" w:rsidRPr="00927821">
        <w:rPr>
          <w:rFonts w:ascii="Arial" w:hAnsi="Arial" w:cs="Arial"/>
          <w:lang w:val="en-US"/>
        </w:rPr>
        <w:t xml:space="preserve"> | </w:t>
      </w:r>
      <w:hyperlink r:id="rId19" w:history="1">
        <w:r w:rsidR="00473739" w:rsidRPr="00927821">
          <w:rPr>
            <w:rStyle w:val="Lienhypertexte"/>
            <w:rFonts w:ascii="Arial" w:hAnsi="Arial" w:cs="Arial"/>
            <w:lang w:val="en-US"/>
          </w:rPr>
          <w:t>Twitter</w:t>
        </w:r>
      </w:hyperlink>
    </w:p>
    <w:p w14:paraId="225FE446" w14:textId="77777777" w:rsidR="00473739" w:rsidRPr="0098289D" w:rsidRDefault="00473739" w:rsidP="00D75DCE">
      <w:pPr>
        <w:spacing w:after="0" w:line="240" w:lineRule="auto"/>
        <w:rPr>
          <w:rFonts w:ascii="Arial" w:hAnsi="Arial"/>
          <w:lang w:val="en-US"/>
        </w:rPr>
      </w:pPr>
    </w:p>
    <w:p w14:paraId="51EB7D80" w14:textId="77777777" w:rsidR="00900CAA" w:rsidRPr="00900CAA" w:rsidRDefault="00900CAA" w:rsidP="00900CAA">
      <w:pPr>
        <w:spacing w:after="0" w:line="240" w:lineRule="auto"/>
        <w:rPr>
          <w:rFonts w:ascii="Arial" w:hAnsi="Arial"/>
          <w:b/>
          <w:bCs/>
        </w:rPr>
      </w:pPr>
      <w:r w:rsidRPr="00900CAA">
        <w:rPr>
          <w:rFonts w:ascii="Arial" w:hAnsi="Arial"/>
          <w:b/>
          <w:bCs/>
        </w:rPr>
        <w:t>À propos de Financement Participatif France (FPF)</w:t>
      </w:r>
    </w:p>
    <w:p w14:paraId="523A7576" w14:textId="507A3771" w:rsidR="00900CAA" w:rsidRDefault="00900CAA" w:rsidP="00900CAA">
      <w:pPr>
        <w:spacing w:after="0" w:line="240" w:lineRule="auto"/>
        <w:rPr>
          <w:rFonts w:ascii="Arial" w:hAnsi="Arial"/>
        </w:rPr>
      </w:pPr>
      <w:r w:rsidRPr="00900CAA">
        <w:rPr>
          <w:rFonts w:ascii="Arial" w:hAnsi="Arial"/>
        </w:rPr>
        <w:t>Financement Participatif France est l’association professionnelle des acteurs du crowdfunding en France. Elle regroupe 130 membres dont 65 plateformes de financement participatif. Créée en août 2012, elle a pour objectif la représentation collective, la promotion et la défense des droits et intérêts des acteurs de la finance participative pour faire progresser le financement de projets par les citoyens.</w:t>
      </w:r>
    </w:p>
    <w:p w14:paraId="7BADCA1B" w14:textId="552F68C4" w:rsidR="00900CAA" w:rsidRDefault="00900CAA" w:rsidP="00900CAA">
      <w:pPr>
        <w:spacing w:after="0" w:line="240" w:lineRule="auto"/>
        <w:rPr>
          <w:rFonts w:ascii="Arial" w:hAnsi="Arial"/>
        </w:rPr>
      </w:pPr>
    </w:p>
    <w:p w14:paraId="060FE55C" w14:textId="5DE0B5E1" w:rsidR="000750F4" w:rsidRPr="00026D18" w:rsidRDefault="00D436F4" w:rsidP="00D75DCE">
      <w:pPr>
        <w:spacing w:after="0" w:line="240" w:lineRule="auto"/>
        <w:rPr>
          <w:rFonts w:ascii="Arial" w:hAnsi="Arial"/>
          <w:lang w:val="en-US"/>
        </w:rPr>
      </w:pPr>
      <w:hyperlink r:id="rId20" w:history="1">
        <w:r w:rsidR="009A4DF3" w:rsidRPr="00900CAA">
          <w:rPr>
            <w:rStyle w:val="Lienhypertexte"/>
            <w:rFonts w:ascii="Arial" w:hAnsi="Arial"/>
            <w:lang w:val="en-US"/>
          </w:rPr>
          <w:t>https://financeparticipative.org/</w:t>
        </w:r>
      </w:hyperlink>
      <w:r w:rsidR="009A4DF3" w:rsidRPr="009A4DF3">
        <w:rPr>
          <w:rFonts w:ascii="Arial" w:hAnsi="Arial"/>
          <w:lang w:val="en-US"/>
        </w:rPr>
        <w:t xml:space="preserve"> </w:t>
      </w:r>
      <w:r w:rsidR="00900CAA" w:rsidRPr="00927821">
        <w:rPr>
          <w:rFonts w:ascii="Arial" w:hAnsi="Arial" w:cs="Arial"/>
          <w:lang w:val="en-US"/>
        </w:rPr>
        <w:t xml:space="preserve">| </w:t>
      </w:r>
      <w:hyperlink r:id="rId21" w:history="1">
        <w:r w:rsidR="00900CAA" w:rsidRPr="00927821">
          <w:rPr>
            <w:rStyle w:val="Lienhypertexte"/>
            <w:rFonts w:ascii="Arial" w:hAnsi="Arial" w:cs="Arial"/>
            <w:lang w:val="en-US"/>
          </w:rPr>
          <w:t>LinkedIn</w:t>
        </w:r>
      </w:hyperlink>
      <w:r w:rsidR="00900CAA" w:rsidRPr="00927821">
        <w:rPr>
          <w:rFonts w:ascii="Arial" w:hAnsi="Arial" w:cs="Arial"/>
          <w:lang w:val="en-US"/>
        </w:rPr>
        <w:t xml:space="preserve"> | </w:t>
      </w:r>
      <w:hyperlink r:id="rId22" w:history="1">
        <w:r w:rsidR="00900CAA" w:rsidRPr="00927821">
          <w:rPr>
            <w:rStyle w:val="Lienhypertexte"/>
            <w:rFonts w:ascii="Arial" w:hAnsi="Arial" w:cs="Arial"/>
            <w:lang w:val="en-US"/>
          </w:rPr>
          <w:t>Twitter</w:t>
        </w:r>
      </w:hyperlink>
    </w:p>
    <w:sectPr w:rsidR="000750F4" w:rsidRPr="00026D18" w:rsidSect="000750F4">
      <w:footerReference w:type="default" r:id="rId23"/>
      <w:headerReference w:type="first" r:id="rId24"/>
      <w:type w:val="continuous"/>
      <w:pgSz w:w="11906" w:h="16838"/>
      <w:pgMar w:top="1440" w:right="1440" w:bottom="1440" w:left="1440" w:header="1304" w:footer="720"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5F61F" w14:textId="77777777" w:rsidR="00873F49" w:rsidRDefault="00873F49" w:rsidP="007A7173">
      <w:pPr>
        <w:spacing w:after="0" w:line="240" w:lineRule="auto"/>
      </w:pPr>
      <w:r>
        <w:separator/>
      </w:r>
    </w:p>
  </w:endnote>
  <w:endnote w:type="continuationSeparator" w:id="0">
    <w:p w14:paraId="6E2666C6" w14:textId="77777777" w:rsidR="00873F49" w:rsidRDefault="00873F49" w:rsidP="007A7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alyardTextBook-Regular">
    <w:altName w:val="Cambria"/>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alyard Text Book">
    <w:altName w:val="Calibri"/>
    <w:charset w:val="00"/>
    <w:family w:val="swiss"/>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10CFA" w14:textId="6727E0E9" w:rsidR="00A7477B" w:rsidRPr="00A7477B" w:rsidRDefault="00A7477B" w:rsidP="00A7477B">
    <w:pPr>
      <w:pStyle w:val="Pieddepage"/>
      <w:tabs>
        <w:tab w:val="clear" w:pos="4513"/>
        <w:tab w:val="clear" w:pos="9026"/>
        <w:tab w:val="left" w:pos="1100"/>
      </w:tabs>
      <w:rPr>
        <w:sz w:val="16"/>
        <w:szCs w:val="16"/>
      </w:rPr>
    </w:pPr>
    <w:r>
      <w:ptab w:relativeTo="margin" w:alignment="right" w:leader="none"/>
    </w:r>
    <w:r w:rsidRPr="00A7477B">
      <w:rPr>
        <w:sz w:val="16"/>
        <w:szCs w:val="16"/>
      </w:rPr>
      <w:fldChar w:fldCharType="begin"/>
    </w:r>
    <w:r w:rsidRPr="00A7477B">
      <w:rPr>
        <w:sz w:val="16"/>
        <w:szCs w:val="16"/>
      </w:rPr>
      <w:instrText xml:space="preserve"> PAGE   \* MERGEFORMAT </w:instrText>
    </w:r>
    <w:r w:rsidRPr="00A7477B">
      <w:rPr>
        <w:sz w:val="16"/>
        <w:szCs w:val="16"/>
      </w:rPr>
      <w:fldChar w:fldCharType="separate"/>
    </w:r>
    <w:r w:rsidRPr="00A7477B">
      <w:rPr>
        <w:sz w:val="16"/>
        <w:szCs w:val="16"/>
      </w:rPr>
      <w:t>1</w:t>
    </w:r>
    <w:r w:rsidRPr="00A7477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7349" w14:textId="77777777" w:rsidR="00873F49" w:rsidRDefault="00873F49" w:rsidP="007A7173">
      <w:pPr>
        <w:spacing w:after="0" w:line="240" w:lineRule="auto"/>
      </w:pPr>
      <w:r>
        <w:separator/>
      </w:r>
    </w:p>
  </w:footnote>
  <w:footnote w:type="continuationSeparator" w:id="0">
    <w:p w14:paraId="29536E60" w14:textId="77777777" w:rsidR="00873F49" w:rsidRDefault="00873F49" w:rsidP="007A7173">
      <w:pPr>
        <w:spacing w:after="0" w:line="240" w:lineRule="auto"/>
      </w:pPr>
      <w:r>
        <w:continuationSeparator/>
      </w:r>
    </w:p>
  </w:footnote>
  <w:footnote w:id="1">
    <w:p w14:paraId="276CA3F5" w14:textId="77777777" w:rsidR="00472F51" w:rsidRDefault="00472F51" w:rsidP="00472F51">
      <w:pPr>
        <w:spacing w:after="0" w:line="240" w:lineRule="auto"/>
        <w:jc w:val="both"/>
        <w:rPr>
          <w:rFonts w:ascii="Arial" w:hAnsi="Arial"/>
        </w:rPr>
      </w:pPr>
      <w:r>
        <w:rPr>
          <w:rStyle w:val="Appelnotedebasdep"/>
        </w:rPr>
        <w:footnoteRef/>
      </w:r>
      <w:r>
        <w:t xml:space="preserve"> Nombre de souscriptions / Nombre de financeurs</w:t>
      </w:r>
    </w:p>
    <w:p w14:paraId="0ACB9E0C" w14:textId="7E2395E7" w:rsidR="00900CAA" w:rsidRDefault="00900CAA" w:rsidP="00900CAA">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9947" w14:textId="4977A961" w:rsidR="007A7173" w:rsidRPr="00E84422" w:rsidRDefault="00E10678" w:rsidP="00E84422">
    <w:pPr>
      <w:pStyle w:val="Corpsdetexte"/>
      <w:spacing w:before="360" w:line="120" w:lineRule="exact"/>
      <w:rPr>
        <w:rFonts w:asciiTheme="minorHAnsi" w:hAnsiTheme="minorHAnsi" w:cstheme="minorHAnsi"/>
        <w:color w:val="2C2D33"/>
      </w:rPr>
    </w:pPr>
    <w:r>
      <w:rPr>
        <w:noProof/>
      </w:rPr>
      <w:drawing>
        <wp:anchor distT="0" distB="0" distL="114300" distR="114300" simplePos="0" relativeHeight="251659264" behindDoc="0" locked="0" layoutInCell="1" allowOverlap="1" wp14:anchorId="03EA8BC6" wp14:editId="2CA95F82">
          <wp:simplePos x="0" y="0"/>
          <wp:positionH relativeFrom="margin">
            <wp:align>left</wp:align>
          </wp:positionH>
          <wp:positionV relativeFrom="topMargin">
            <wp:posOffset>631190</wp:posOffset>
          </wp:positionV>
          <wp:extent cx="1365885" cy="215900"/>
          <wp:effectExtent l="0" t="0" r="5715"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ars_Logo_2C_RGB.jpg"/>
                  <pic:cNvPicPr/>
                </pic:nvPicPr>
                <pic:blipFill>
                  <a:blip r:embed="rId1">
                    <a:extLst>
                      <a:ext uri="{28A0092B-C50C-407E-A947-70E740481C1C}">
                        <a14:useLocalDpi xmlns:a14="http://schemas.microsoft.com/office/drawing/2010/main" val="0"/>
                      </a:ext>
                    </a:extLst>
                  </a:blip>
                  <a:stretch>
                    <a:fillRect/>
                  </a:stretch>
                </pic:blipFill>
                <pic:spPr>
                  <a:xfrm>
                    <a:off x="0" y="0"/>
                    <a:ext cx="1365885" cy="215900"/>
                  </a:xfrm>
                  <a:prstGeom prst="rect">
                    <a:avLst/>
                  </a:prstGeom>
                </pic:spPr>
              </pic:pic>
            </a:graphicData>
          </a:graphic>
          <wp14:sizeRelV relativeFrom="margin">
            <wp14:pctHeight>0</wp14:pctHeight>
          </wp14:sizeRelV>
        </wp:anchor>
      </w:drawing>
    </w:r>
    <w:r>
      <w:rPr>
        <w:rFonts w:asciiTheme="minorHAnsi" w:hAnsiTheme="minorHAnsi" w:cstheme="minorHAnsi"/>
        <w:noProof/>
        <w:color w:val="2C2D33"/>
      </w:rPr>
      <w:drawing>
        <wp:anchor distT="0" distB="0" distL="114300" distR="114300" simplePos="0" relativeHeight="251658240" behindDoc="0" locked="0" layoutInCell="1" allowOverlap="1" wp14:anchorId="6094F37D" wp14:editId="5864F3E0">
          <wp:simplePos x="0" y="0"/>
          <wp:positionH relativeFrom="margin">
            <wp:align>right</wp:align>
          </wp:positionH>
          <wp:positionV relativeFrom="margin">
            <wp:posOffset>-689610</wp:posOffset>
          </wp:positionV>
          <wp:extent cx="1353185" cy="676910"/>
          <wp:effectExtent l="0" t="0" r="0" b="889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85" cy="6769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4EE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9E2B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DED5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6866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43D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1C04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40B5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849C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A3A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68653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0A734BA"/>
    <w:multiLevelType w:val="hybridMultilevel"/>
    <w:tmpl w:val="65D052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0A4476B5"/>
    <w:multiLevelType w:val="hybridMultilevel"/>
    <w:tmpl w:val="84AA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574A5F"/>
    <w:multiLevelType w:val="hybridMultilevel"/>
    <w:tmpl w:val="C1708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E1E599C"/>
    <w:multiLevelType w:val="hybridMultilevel"/>
    <w:tmpl w:val="DEA642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977522"/>
    <w:multiLevelType w:val="hybridMultilevel"/>
    <w:tmpl w:val="6D467E14"/>
    <w:lvl w:ilvl="0" w:tplc="F19E01E8">
      <w:numFmt w:val="bullet"/>
      <w:lvlText w:val="-"/>
      <w:lvlJc w:val="left"/>
      <w:pPr>
        <w:ind w:left="720" w:hanging="360"/>
      </w:pPr>
      <w:rPr>
        <w:rFonts w:ascii="Calibri Light" w:eastAsiaTheme="minorHAnsi" w:hAnsi="Calibri Ligh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1C8C4EAA"/>
    <w:multiLevelType w:val="hybridMultilevel"/>
    <w:tmpl w:val="666E0724"/>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92789"/>
    <w:multiLevelType w:val="hybridMultilevel"/>
    <w:tmpl w:val="A1FE1C7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32B454A3"/>
    <w:multiLevelType w:val="hybridMultilevel"/>
    <w:tmpl w:val="7474F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9171F"/>
    <w:multiLevelType w:val="hybridMultilevel"/>
    <w:tmpl w:val="5E541A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0F39B5"/>
    <w:multiLevelType w:val="hybridMultilevel"/>
    <w:tmpl w:val="8ECA88CA"/>
    <w:lvl w:ilvl="0" w:tplc="D3A60FA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AA47ED"/>
    <w:multiLevelType w:val="hybridMultilevel"/>
    <w:tmpl w:val="E9B69E36"/>
    <w:lvl w:ilvl="0" w:tplc="2B1C48C2">
      <w:start w:val="1"/>
      <w:numFmt w:val="decimal"/>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CB0ACB"/>
    <w:multiLevelType w:val="hybridMultilevel"/>
    <w:tmpl w:val="87541C80"/>
    <w:lvl w:ilvl="0" w:tplc="6748B7B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7"/>
  </w:num>
  <w:num w:numId="14">
    <w:abstractNumId w:val="18"/>
  </w:num>
  <w:num w:numId="15">
    <w:abstractNumId w:val="13"/>
  </w:num>
  <w:num w:numId="16">
    <w:abstractNumId w:val="20"/>
  </w:num>
  <w:num w:numId="17">
    <w:abstractNumId w:val="11"/>
  </w:num>
  <w:num w:numId="18">
    <w:abstractNumId w:val="12"/>
  </w:num>
  <w:num w:numId="19">
    <w:abstractNumId w:val="1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73"/>
    <w:rsid w:val="00003519"/>
    <w:rsid w:val="00003C64"/>
    <w:rsid w:val="00012914"/>
    <w:rsid w:val="0001597B"/>
    <w:rsid w:val="000159D9"/>
    <w:rsid w:val="0002338A"/>
    <w:rsid w:val="0002560D"/>
    <w:rsid w:val="00026D18"/>
    <w:rsid w:val="000307BB"/>
    <w:rsid w:val="000448DD"/>
    <w:rsid w:val="00044EA7"/>
    <w:rsid w:val="0005452B"/>
    <w:rsid w:val="000576A0"/>
    <w:rsid w:val="0006127F"/>
    <w:rsid w:val="00061DC6"/>
    <w:rsid w:val="000657BB"/>
    <w:rsid w:val="00071DB2"/>
    <w:rsid w:val="00072FED"/>
    <w:rsid w:val="000750F4"/>
    <w:rsid w:val="00076B57"/>
    <w:rsid w:val="00076F02"/>
    <w:rsid w:val="0008128C"/>
    <w:rsid w:val="0008542D"/>
    <w:rsid w:val="00091F43"/>
    <w:rsid w:val="00093623"/>
    <w:rsid w:val="000947A8"/>
    <w:rsid w:val="00095562"/>
    <w:rsid w:val="000A448B"/>
    <w:rsid w:val="000A7EEC"/>
    <w:rsid w:val="000B063C"/>
    <w:rsid w:val="000B3E9A"/>
    <w:rsid w:val="000B6978"/>
    <w:rsid w:val="000C20BF"/>
    <w:rsid w:val="000C4264"/>
    <w:rsid w:val="000C7D14"/>
    <w:rsid w:val="000D206A"/>
    <w:rsid w:val="000D3ECE"/>
    <w:rsid w:val="000D697E"/>
    <w:rsid w:val="000E0131"/>
    <w:rsid w:val="000E4CEF"/>
    <w:rsid w:val="000F01F8"/>
    <w:rsid w:val="000F13AA"/>
    <w:rsid w:val="000F1FD5"/>
    <w:rsid w:val="000F4D5A"/>
    <w:rsid w:val="0010075A"/>
    <w:rsid w:val="00102505"/>
    <w:rsid w:val="00105DDF"/>
    <w:rsid w:val="00106A12"/>
    <w:rsid w:val="0011570F"/>
    <w:rsid w:val="0011634B"/>
    <w:rsid w:val="00122BA3"/>
    <w:rsid w:val="00122DDF"/>
    <w:rsid w:val="001275A9"/>
    <w:rsid w:val="001313B3"/>
    <w:rsid w:val="00141178"/>
    <w:rsid w:val="0014427E"/>
    <w:rsid w:val="00172B9B"/>
    <w:rsid w:val="001764EC"/>
    <w:rsid w:val="00177D73"/>
    <w:rsid w:val="001814BC"/>
    <w:rsid w:val="0018537E"/>
    <w:rsid w:val="00186DE9"/>
    <w:rsid w:val="00191CAF"/>
    <w:rsid w:val="001921BA"/>
    <w:rsid w:val="001A2A08"/>
    <w:rsid w:val="001A72F4"/>
    <w:rsid w:val="001A7770"/>
    <w:rsid w:val="001A788F"/>
    <w:rsid w:val="001B0887"/>
    <w:rsid w:val="001B0B79"/>
    <w:rsid w:val="001B7B7E"/>
    <w:rsid w:val="001C0DC6"/>
    <w:rsid w:val="001C3D12"/>
    <w:rsid w:val="001C6354"/>
    <w:rsid w:val="001D046C"/>
    <w:rsid w:val="001D58A7"/>
    <w:rsid w:val="001E003D"/>
    <w:rsid w:val="001F0A93"/>
    <w:rsid w:val="001F7E60"/>
    <w:rsid w:val="00200EBD"/>
    <w:rsid w:val="00202649"/>
    <w:rsid w:val="00205AC1"/>
    <w:rsid w:val="002103C8"/>
    <w:rsid w:val="00210425"/>
    <w:rsid w:val="00220628"/>
    <w:rsid w:val="00225D98"/>
    <w:rsid w:val="00227A3F"/>
    <w:rsid w:val="00230C80"/>
    <w:rsid w:val="00233435"/>
    <w:rsid w:val="002403FA"/>
    <w:rsid w:val="00240BD3"/>
    <w:rsid w:val="002450CA"/>
    <w:rsid w:val="0024642A"/>
    <w:rsid w:val="00250F19"/>
    <w:rsid w:val="00252A23"/>
    <w:rsid w:val="00257C93"/>
    <w:rsid w:val="00263118"/>
    <w:rsid w:val="00284AF3"/>
    <w:rsid w:val="00284BA5"/>
    <w:rsid w:val="00290C95"/>
    <w:rsid w:val="002A0991"/>
    <w:rsid w:val="002A3C46"/>
    <w:rsid w:val="002A4158"/>
    <w:rsid w:val="002A4AC1"/>
    <w:rsid w:val="002A5A91"/>
    <w:rsid w:val="002B0218"/>
    <w:rsid w:val="002B36E4"/>
    <w:rsid w:val="002B7E7E"/>
    <w:rsid w:val="002C4BAF"/>
    <w:rsid w:val="002D7EA6"/>
    <w:rsid w:val="002E1B51"/>
    <w:rsid w:val="002E3397"/>
    <w:rsid w:val="002E4F5E"/>
    <w:rsid w:val="002E5720"/>
    <w:rsid w:val="002E5AC8"/>
    <w:rsid w:val="002E7022"/>
    <w:rsid w:val="002F04BE"/>
    <w:rsid w:val="002F075D"/>
    <w:rsid w:val="002F4F82"/>
    <w:rsid w:val="00303A5B"/>
    <w:rsid w:val="00304934"/>
    <w:rsid w:val="0031319B"/>
    <w:rsid w:val="00316554"/>
    <w:rsid w:val="00317D46"/>
    <w:rsid w:val="00317DFD"/>
    <w:rsid w:val="00320B62"/>
    <w:rsid w:val="00321FC8"/>
    <w:rsid w:val="00340935"/>
    <w:rsid w:val="00341B35"/>
    <w:rsid w:val="00343E5B"/>
    <w:rsid w:val="00344CB1"/>
    <w:rsid w:val="003538AA"/>
    <w:rsid w:val="00357BC2"/>
    <w:rsid w:val="00362D47"/>
    <w:rsid w:val="0036482E"/>
    <w:rsid w:val="00376BDD"/>
    <w:rsid w:val="00385F41"/>
    <w:rsid w:val="00390DAF"/>
    <w:rsid w:val="00392277"/>
    <w:rsid w:val="00394DB7"/>
    <w:rsid w:val="003A0045"/>
    <w:rsid w:val="003A0548"/>
    <w:rsid w:val="003A3C1C"/>
    <w:rsid w:val="003A4516"/>
    <w:rsid w:val="003A4E77"/>
    <w:rsid w:val="003B0A55"/>
    <w:rsid w:val="003B62EE"/>
    <w:rsid w:val="003C1671"/>
    <w:rsid w:val="003C32F2"/>
    <w:rsid w:val="003C6656"/>
    <w:rsid w:val="003C7471"/>
    <w:rsid w:val="003C7953"/>
    <w:rsid w:val="003C7F25"/>
    <w:rsid w:val="003D1D89"/>
    <w:rsid w:val="003D1F38"/>
    <w:rsid w:val="003D53B6"/>
    <w:rsid w:val="003E15C8"/>
    <w:rsid w:val="003E3101"/>
    <w:rsid w:val="003E7018"/>
    <w:rsid w:val="003F2745"/>
    <w:rsid w:val="00403273"/>
    <w:rsid w:val="00404B18"/>
    <w:rsid w:val="00405497"/>
    <w:rsid w:val="00407E58"/>
    <w:rsid w:val="00413C25"/>
    <w:rsid w:val="004165F2"/>
    <w:rsid w:val="00417DDC"/>
    <w:rsid w:val="00420959"/>
    <w:rsid w:val="00424825"/>
    <w:rsid w:val="00425061"/>
    <w:rsid w:val="00426529"/>
    <w:rsid w:val="00430737"/>
    <w:rsid w:val="00434FDD"/>
    <w:rsid w:val="00435AD4"/>
    <w:rsid w:val="004362B7"/>
    <w:rsid w:val="004460F8"/>
    <w:rsid w:val="004472F1"/>
    <w:rsid w:val="00450B57"/>
    <w:rsid w:val="00461DBC"/>
    <w:rsid w:val="0046274A"/>
    <w:rsid w:val="00472F51"/>
    <w:rsid w:val="00473739"/>
    <w:rsid w:val="00474360"/>
    <w:rsid w:val="0047496C"/>
    <w:rsid w:val="00476687"/>
    <w:rsid w:val="00484A85"/>
    <w:rsid w:val="00485002"/>
    <w:rsid w:val="00490B54"/>
    <w:rsid w:val="004A3305"/>
    <w:rsid w:val="004A6FD1"/>
    <w:rsid w:val="004B0825"/>
    <w:rsid w:val="004B36BD"/>
    <w:rsid w:val="004B73AF"/>
    <w:rsid w:val="004B7C1C"/>
    <w:rsid w:val="004C5FCE"/>
    <w:rsid w:val="004C64F1"/>
    <w:rsid w:val="004C76B8"/>
    <w:rsid w:val="004D4E1C"/>
    <w:rsid w:val="004E4F71"/>
    <w:rsid w:val="004E6945"/>
    <w:rsid w:val="004F4B9C"/>
    <w:rsid w:val="00500996"/>
    <w:rsid w:val="00502829"/>
    <w:rsid w:val="00503283"/>
    <w:rsid w:val="00506447"/>
    <w:rsid w:val="00510D50"/>
    <w:rsid w:val="00511E53"/>
    <w:rsid w:val="0052284E"/>
    <w:rsid w:val="00523799"/>
    <w:rsid w:val="00523C00"/>
    <w:rsid w:val="0053036B"/>
    <w:rsid w:val="00532577"/>
    <w:rsid w:val="00533EFE"/>
    <w:rsid w:val="00534C31"/>
    <w:rsid w:val="0053553B"/>
    <w:rsid w:val="00536F52"/>
    <w:rsid w:val="0053724D"/>
    <w:rsid w:val="0054241D"/>
    <w:rsid w:val="005509E7"/>
    <w:rsid w:val="00551BDB"/>
    <w:rsid w:val="00554044"/>
    <w:rsid w:val="00554F60"/>
    <w:rsid w:val="00555ADB"/>
    <w:rsid w:val="005620AC"/>
    <w:rsid w:val="00562376"/>
    <w:rsid w:val="00585DE8"/>
    <w:rsid w:val="00590704"/>
    <w:rsid w:val="0059293F"/>
    <w:rsid w:val="00594444"/>
    <w:rsid w:val="005A1683"/>
    <w:rsid w:val="005A17B0"/>
    <w:rsid w:val="005A1BA5"/>
    <w:rsid w:val="005A46F4"/>
    <w:rsid w:val="005B094E"/>
    <w:rsid w:val="005B1690"/>
    <w:rsid w:val="005B2633"/>
    <w:rsid w:val="005B311F"/>
    <w:rsid w:val="005B5826"/>
    <w:rsid w:val="005C1F13"/>
    <w:rsid w:val="005C3EB2"/>
    <w:rsid w:val="005C69FE"/>
    <w:rsid w:val="005D3A2D"/>
    <w:rsid w:val="005D42CB"/>
    <w:rsid w:val="005D50AD"/>
    <w:rsid w:val="005D652D"/>
    <w:rsid w:val="005E11DF"/>
    <w:rsid w:val="005E2533"/>
    <w:rsid w:val="005F42B9"/>
    <w:rsid w:val="005F6CB8"/>
    <w:rsid w:val="00600BF3"/>
    <w:rsid w:val="006062AE"/>
    <w:rsid w:val="00606408"/>
    <w:rsid w:val="00606989"/>
    <w:rsid w:val="00613E9C"/>
    <w:rsid w:val="00615D78"/>
    <w:rsid w:val="00625183"/>
    <w:rsid w:val="00625928"/>
    <w:rsid w:val="00626989"/>
    <w:rsid w:val="00627B64"/>
    <w:rsid w:val="00630E8E"/>
    <w:rsid w:val="00635CC2"/>
    <w:rsid w:val="00641DC6"/>
    <w:rsid w:val="00643AC0"/>
    <w:rsid w:val="006500E3"/>
    <w:rsid w:val="00650C1B"/>
    <w:rsid w:val="006525F3"/>
    <w:rsid w:val="006536F8"/>
    <w:rsid w:val="006644F8"/>
    <w:rsid w:val="00666EC7"/>
    <w:rsid w:val="00667F46"/>
    <w:rsid w:val="00670193"/>
    <w:rsid w:val="006702EF"/>
    <w:rsid w:val="0067379E"/>
    <w:rsid w:val="00677FC5"/>
    <w:rsid w:val="006829B2"/>
    <w:rsid w:val="006845E5"/>
    <w:rsid w:val="00690676"/>
    <w:rsid w:val="006948A2"/>
    <w:rsid w:val="006A2424"/>
    <w:rsid w:val="006B19AA"/>
    <w:rsid w:val="006C1C58"/>
    <w:rsid w:val="006C3710"/>
    <w:rsid w:val="006C7834"/>
    <w:rsid w:val="006D15E9"/>
    <w:rsid w:val="006D34F4"/>
    <w:rsid w:val="006D3A17"/>
    <w:rsid w:val="006D5BDC"/>
    <w:rsid w:val="006D5DC4"/>
    <w:rsid w:val="006D6078"/>
    <w:rsid w:val="006F020E"/>
    <w:rsid w:val="00703C81"/>
    <w:rsid w:val="00723AF6"/>
    <w:rsid w:val="00730BAE"/>
    <w:rsid w:val="00740361"/>
    <w:rsid w:val="007433B6"/>
    <w:rsid w:val="00753C0A"/>
    <w:rsid w:val="007561C7"/>
    <w:rsid w:val="007633E9"/>
    <w:rsid w:val="00767602"/>
    <w:rsid w:val="00771950"/>
    <w:rsid w:val="00772D30"/>
    <w:rsid w:val="0077303D"/>
    <w:rsid w:val="007732F1"/>
    <w:rsid w:val="00774F08"/>
    <w:rsid w:val="00776C55"/>
    <w:rsid w:val="00777350"/>
    <w:rsid w:val="00787FBB"/>
    <w:rsid w:val="00793E5F"/>
    <w:rsid w:val="007967DD"/>
    <w:rsid w:val="0079687B"/>
    <w:rsid w:val="00797BA8"/>
    <w:rsid w:val="007A7173"/>
    <w:rsid w:val="007B0721"/>
    <w:rsid w:val="007B7EBD"/>
    <w:rsid w:val="007C406A"/>
    <w:rsid w:val="007C763F"/>
    <w:rsid w:val="007D47A4"/>
    <w:rsid w:val="007E2EBF"/>
    <w:rsid w:val="007E2EE0"/>
    <w:rsid w:val="007F0C6E"/>
    <w:rsid w:val="007F154F"/>
    <w:rsid w:val="007F15D9"/>
    <w:rsid w:val="007F398D"/>
    <w:rsid w:val="007F3CAB"/>
    <w:rsid w:val="007F44AA"/>
    <w:rsid w:val="0080520C"/>
    <w:rsid w:val="0080596D"/>
    <w:rsid w:val="0081027E"/>
    <w:rsid w:val="008110BD"/>
    <w:rsid w:val="00813D7C"/>
    <w:rsid w:val="00815A14"/>
    <w:rsid w:val="00815D4D"/>
    <w:rsid w:val="0082105D"/>
    <w:rsid w:val="008238C6"/>
    <w:rsid w:val="008356FB"/>
    <w:rsid w:val="00852014"/>
    <w:rsid w:val="00855748"/>
    <w:rsid w:val="008577C9"/>
    <w:rsid w:val="00861103"/>
    <w:rsid w:val="00861FE1"/>
    <w:rsid w:val="008648EC"/>
    <w:rsid w:val="008713A8"/>
    <w:rsid w:val="00871665"/>
    <w:rsid w:val="00872031"/>
    <w:rsid w:val="00873F49"/>
    <w:rsid w:val="00880081"/>
    <w:rsid w:val="008833D1"/>
    <w:rsid w:val="0088467C"/>
    <w:rsid w:val="00892417"/>
    <w:rsid w:val="00892509"/>
    <w:rsid w:val="00897058"/>
    <w:rsid w:val="00897355"/>
    <w:rsid w:val="008A1D19"/>
    <w:rsid w:val="008A4135"/>
    <w:rsid w:val="008A4E44"/>
    <w:rsid w:val="008A627A"/>
    <w:rsid w:val="008B037E"/>
    <w:rsid w:val="008B3332"/>
    <w:rsid w:val="008B76A4"/>
    <w:rsid w:val="008C0847"/>
    <w:rsid w:val="008C18E6"/>
    <w:rsid w:val="008C7069"/>
    <w:rsid w:val="008D7DB8"/>
    <w:rsid w:val="008E4779"/>
    <w:rsid w:val="008E51AD"/>
    <w:rsid w:val="008E7482"/>
    <w:rsid w:val="00900CAA"/>
    <w:rsid w:val="009054A0"/>
    <w:rsid w:val="0091246A"/>
    <w:rsid w:val="009126FB"/>
    <w:rsid w:val="009175A3"/>
    <w:rsid w:val="009218E8"/>
    <w:rsid w:val="009266CE"/>
    <w:rsid w:val="00926D3E"/>
    <w:rsid w:val="00930E00"/>
    <w:rsid w:val="00931029"/>
    <w:rsid w:val="00933526"/>
    <w:rsid w:val="00934217"/>
    <w:rsid w:val="00953C90"/>
    <w:rsid w:val="00961EA6"/>
    <w:rsid w:val="00973650"/>
    <w:rsid w:val="0097401D"/>
    <w:rsid w:val="00974AF3"/>
    <w:rsid w:val="00977885"/>
    <w:rsid w:val="0098289D"/>
    <w:rsid w:val="00982C9A"/>
    <w:rsid w:val="00983BEC"/>
    <w:rsid w:val="00997EA7"/>
    <w:rsid w:val="009A3820"/>
    <w:rsid w:val="009A4190"/>
    <w:rsid w:val="009A4DF3"/>
    <w:rsid w:val="009A620F"/>
    <w:rsid w:val="009B246E"/>
    <w:rsid w:val="009B340C"/>
    <w:rsid w:val="009B3A10"/>
    <w:rsid w:val="009B4B95"/>
    <w:rsid w:val="009B6574"/>
    <w:rsid w:val="009C08EF"/>
    <w:rsid w:val="009C44FE"/>
    <w:rsid w:val="009C69C3"/>
    <w:rsid w:val="009D0655"/>
    <w:rsid w:val="009D0C1F"/>
    <w:rsid w:val="009D25B6"/>
    <w:rsid w:val="009D3A29"/>
    <w:rsid w:val="009D4110"/>
    <w:rsid w:val="009D44DB"/>
    <w:rsid w:val="009E192F"/>
    <w:rsid w:val="009E50C4"/>
    <w:rsid w:val="009F5D65"/>
    <w:rsid w:val="009F6098"/>
    <w:rsid w:val="009F6CEC"/>
    <w:rsid w:val="00A001A6"/>
    <w:rsid w:val="00A018E5"/>
    <w:rsid w:val="00A076CA"/>
    <w:rsid w:val="00A07B90"/>
    <w:rsid w:val="00A16225"/>
    <w:rsid w:val="00A25D34"/>
    <w:rsid w:val="00A31545"/>
    <w:rsid w:val="00A35E51"/>
    <w:rsid w:val="00A37D49"/>
    <w:rsid w:val="00A41277"/>
    <w:rsid w:val="00A42771"/>
    <w:rsid w:val="00A43AF4"/>
    <w:rsid w:val="00A44FE8"/>
    <w:rsid w:val="00A56D74"/>
    <w:rsid w:val="00A62CCE"/>
    <w:rsid w:val="00A62E9B"/>
    <w:rsid w:val="00A64F33"/>
    <w:rsid w:val="00A662CC"/>
    <w:rsid w:val="00A72C06"/>
    <w:rsid w:val="00A731AD"/>
    <w:rsid w:val="00A7477B"/>
    <w:rsid w:val="00A923D0"/>
    <w:rsid w:val="00A929A3"/>
    <w:rsid w:val="00A93311"/>
    <w:rsid w:val="00A93DCC"/>
    <w:rsid w:val="00A94F45"/>
    <w:rsid w:val="00A95342"/>
    <w:rsid w:val="00A965CD"/>
    <w:rsid w:val="00A9663C"/>
    <w:rsid w:val="00AA02C5"/>
    <w:rsid w:val="00AA4D51"/>
    <w:rsid w:val="00AB4D93"/>
    <w:rsid w:val="00AB5C93"/>
    <w:rsid w:val="00AB5D87"/>
    <w:rsid w:val="00AC5C8D"/>
    <w:rsid w:val="00AC79FD"/>
    <w:rsid w:val="00AE3178"/>
    <w:rsid w:val="00AE39DC"/>
    <w:rsid w:val="00AE6DB7"/>
    <w:rsid w:val="00AF60D0"/>
    <w:rsid w:val="00B043FE"/>
    <w:rsid w:val="00B13D6C"/>
    <w:rsid w:val="00B232B8"/>
    <w:rsid w:val="00B24948"/>
    <w:rsid w:val="00B24AC2"/>
    <w:rsid w:val="00B25614"/>
    <w:rsid w:val="00B27060"/>
    <w:rsid w:val="00B27832"/>
    <w:rsid w:val="00B32124"/>
    <w:rsid w:val="00B3233C"/>
    <w:rsid w:val="00B3390C"/>
    <w:rsid w:val="00B348C9"/>
    <w:rsid w:val="00B364F6"/>
    <w:rsid w:val="00B3794D"/>
    <w:rsid w:val="00B37B00"/>
    <w:rsid w:val="00B4054C"/>
    <w:rsid w:val="00B40925"/>
    <w:rsid w:val="00B42D4C"/>
    <w:rsid w:val="00B47C8C"/>
    <w:rsid w:val="00B5394C"/>
    <w:rsid w:val="00B553FE"/>
    <w:rsid w:val="00B65B90"/>
    <w:rsid w:val="00B71537"/>
    <w:rsid w:val="00B75D64"/>
    <w:rsid w:val="00B83979"/>
    <w:rsid w:val="00B949A2"/>
    <w:rsid w:val="00BA10FE"/>
    <w:rsid w:val="00BA2602"/>
    <w:rsid w:val="00BA5657"/>
    <w:rsid w:val="00BC0929"/>
    <w:rsid w:val="00BC51C7"/>
    <w:rsid w:val="00BC5A70"/>
    <w:rsid w:val="00BD5B91"/>
    <w:rsid w:val="00BD7441"/>
    <w:rsid w:val="00BE6076"/>
    <w:rsid w:val="00BF296A"/>
    <w:rsid w:val="00BF4B1F"/>
    <w:rsid w:val="00BF4D94"/>
    <w:rsid w:val="00C01384"/>
    <w:rsid w:val="00C01ECA"/>
    <w:rsid w:val="00C0534E"/>
    <w:rsid w:val="00C05B1C"/>
    <w:rsid w:val="00C06F65"/>
    <w:rsid w:val="00C11C38"/>
    <w:rsid w:val="00C17A3C"/>
    <w:rsid w:val="00C17C11"/>
    <w:rsid w:val="00C2149F"/>
    <w:rsid w:val="00C21D8D"/>
    <w:rsid w:val="00C2678C"/>
    <w:rsid w:val="00C31CEA"/>
    <w:rsid w:val="00C45BF0"/>
    <w:rsid w:val="00C50170"/>
    <w:rsid w:val="00C5727D"/>
    <w:rsid w:val="00C57B33"/>
    <w:rsid w:val="00C63B3E"/>
    <w:rsid w:val="00C6784B"/>
    <w:rsid w:val="00C70299"/>
    <w:rsid w:val="00C74D3D"/>
    <w:rsid w:val="00C76E6E"/>
    <w:rsid w:val="00C8309D"/>
    <w:rsid w:val="00C94DC0"/>
    <w:rsid w:val="00C95408"/>
    <w:rsid w:val="00C96C2D"/>
    <w:rsid w:val="00CA10C3"/>
    <w:rsid w:val="00CC4E0F"/>
    <w:rsid w:val="00CC5069"/>
    <w:rsid w:val="00CD0F0E"/>
    <w:rsid w:val="00CD2B9A"/>
    <w:rsid w:val="00CD2D18"/>
    <w:rsid w:val="00CD2D69"/>
    <w:rsid w:val="00CD7E83"/>
    <w:rsid w:val="00CE1281"/>
    <w:rsid w:val="00CE3673"/>
    <w:rsid w:val="00CE5199"/>
    <w:rsid w:val="00CF0077"/>
    <w:rsid w:val="00CF389A"/>
    <w:rsid w:val="00CF454D"/>
    <w:rsid w:val="00CF75B7"/>
    <w:rsid w:val="00D10097"/>
    <w:rsid w:val="00D11925"/>
    <w:rsid w:val="00D14BCF"/>
    <w:rsid w:val="00D176A3"/>
    <w:rsid w:val="00D1787A"/>
    <w:rsid w:val="00D312A8"/>
    <w:rsid w:val="00D31933"/>
    <w:rsid w:val="00D37D7F"/>
    <w:rsid w:val="00D400BA"/>
    <w:rsid w:val="00D42E61"/>
    <w:rsid w:val="00D436F4"/>
    <w:rsid w:val="00D5166B"/>
    <w:rsid w:val="00D51CF6"/>
    <w:rsid w:val="00D5316C"/>
    <w:rsid w:val="00D5797F"/>
    <w:rsid w:val="00D60E9A"/>
    <w:rsid w:val="00D612C1"/>
    <w:rsid w:val="00D621A5"/>
    <w:rsid w:val="00D64CCC"/>
    <w:rsid w:val="00D7246E"/>
    <w:rsid w:val="00D75DCE"/>
    <w:rsid w:val="00D80B9E"/>
    <w:rsid w:val="00D8125C"/>
    <w:rsid w:val="00D84405"/>
    <w:rsid w:val="00D9165D"/>
    <w:rsid w:val="00D92467"/>
    <w:rsid w:val="00D925C9"/>
    <w:rsid w:val="00DA2BC2"/>
    <w:rsid w:val="00DA361C"/>
    <w:rsid w:val="00DA5EEE"/>
    <w:rsid w:val="00DA6551"/>
    <w:rsid w:val="00DB15FE"/>
    <w:rsid w:val="00DB17A8"/>
    <w:rsid w:val="00DB3EF3"/>
    <w:rsid w:val="00DB5873"/>
    <w:rsid w:val="00DB6C01"/>
    <w:rsid w:val="00DC2B52"/>
    <w:rsid w:val="00DC4321"/>
    <w:rsid w:val="00DC65D1"/>
    <w:rsid w:val="00DD04FB"/>
    <w:rsid w:val="00DD1DF0"/>
    <w:rsid w:val="00DD2FEE"/>
    <w:rsid w:val="00DD4B84"/>
    <w:rsid w:val="00DD5997"/>
    <w:rsid w:val="00DE38B3"/>
    <w:rsid w:val="00DE72B2"/>
    <w:rsid w:val="00DF4584"/>
    <w:rsid w:val="00E0187E"/>
    <w:rsid w:val="00E10545"/>
    <w:rsid w:val="00E10678"/>
    <w:rsid w:val="00E13F53"/>
    <w:rsid w:val="00E35815"/>
    <w:rsid w:val="00E35C8B"/>
    <w:rsid w:val="00E3702F"/>
    <w:rsid w:val="00E415AD"/>
    <w:rsid w:val="00E43DBB"/>
    <w:rsid w:val="00E448E0"/>
    <w:rsid w:val="00E4497F"/>
    <w:rsid w:val="00E519A0"/>
    <w:rsid w:val="00E53DC6"/>
    <w:rsid w:val="00E60625"/>
    <w:rsid w:val="00E67E90"/>
    <w:rsid w:val="00E72624"/>
    <w:rsid w:val="00E738A1"/>
    <w:rsid w:val="00E7790D"/>
    <w:rsid w:val="00E80B82"/>
    <w:rsid w:val="00E82641"/>
    <w:rsid w:val="00E84422"/>
    <w:rsid w:val="00E854C1"/>
    <w:rsid w:val="00E85807"/>
    <w:rsid w:val="00E9639D"/>
    <w:rsid w:val="00E967BC"/>
    <w:rsid w:val="00E96D01"/>
    <w:rsid w:val="00E97579"/>
    <w:rsid w:val="00E97773"/>
    <w:rsid w:val="00EA3A4C"/>
    <w:rsid w:val="00EA4F57"/>
    <w:rsid w:val="00EB3102"/>
    <w:rsid w:val="00EB53F7"/>
    <w:rsid w:val="00EC353A"/>
    <w:rsid w:val="00EC3FF7"/>
    <w:rsid w:val="00EC485A"/>
    <w:rsid w:val="00EC7D48"/>
    <w:rsid w:val="00ED28A2"/>
    <w:rsid w:val="00ED4262"/>
    <w:rsid w:val="00ED64AC"/>
    <w:rsid w:val="00ED669F"/>
    <w:rsid w:val="00EE0DAC"/>
    <w:rsid w:val="00EE1047"/>
    <w:rsid w:val="00EE26E0"/>
    <w:rsid w:val="00EE501C"/>
    <w:rsid w:val="00EE7245"/>
    <w:rsid w:val="00EE7438"/>
    <w:rsid w:val="00EF5C31"/>
    <w:rsid w:val="00F001BF"/>
    <w:rsid w:val="00F010D2"/>
    <w:rsid w:val="00F03C3B"/>
    <w:rsid w:val="00F11B5E"/>
    <w:rsid w:val="00F13866"/>
    <w:rsid w:val="00F15563"/>
    <w:rsid w:val="00F17B4C"/>
    <w:rsid w:val="00F238BB"/>
    <w:rsid w:val="00F26189"/>
    <w:rsid w:val="00F27B63"/>
    <w:rsid w:val="00F415C0"/>
    <w:rsid w:val="00F42AEC"/>
    <w:rsid w:val="00F42D42"/>
    <w:rsid w:val="00F45535"/>
    <w:rsid w:val="00F47C49"/>
    <w:rsid w:val="00F50B10"/>
    <w:rsid w:val="00F5450E"/>
    <w:rsid w:val="00F624BD"/>
    <w:rsid w:val="00F66464"/>
    <w:rsid w:val="00F70B31"/>
    <w:rsid w:val="00F76189"/>
    <w:rsid w:val="00F76FD7"/>
    <w:rsid w:val="00F777A9"/>
    <w:rsid w:val="00F8037B"/>
    <w:rsid w:val="00F8260E"/>
    <w:rsid w:val="00F83C06"/>
    <w:rsid w:val="00F85D37"/>
    <w:rsid w:val="00F902A1"/>
    <w:rsid w:val="00F92A20"/>
    <w:rsid w:val="00F9626C"/>
    <w:rsid w:val="00FB1F67"/>
    <w:rsid w:val="00FB3879"/>
    <w:rsid w:val="00FB681F"/>
    <w:rsid w:val="00FC14B9"/>
    <w:rsid w:val="00FD2B27"/>
    <w:rsid w:val="00FD31B9"/>
    <w:rsid w:val="00FD5193"/>
    <w:rsid w:val="00FE7C97"/>
    <w:rsid w:val="00FF18DC"/>
    <w:rsid w:val="00FF1B6B"/>
    <w:rsid w:val="00FF27CA"/>
    <w:rsid w:val="00FF403D"/>
    <w:rsid w:val="00FF5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26161"/>
  <w15:chartTrackingRefBased/>
  <w15:docId w15:val="{C18D122A-5BE1-42EA-B637-167B6513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75A9"/>
    <w:pPr>
      <w:spacing w:after="120" w:line="300" w:lineRule="exact"/>
    </w:pPr>
    <w:rPr>
      <w:color w:val="787878" w:themeColor="text1"/>
      <w:sz w:val="20"/>
    </w:rPr>
  </w:style>
  <w:style w:type="paragraph" w:styleId="Titre1">
    <w:name w:val="heading 1"/>
    <w:basedOn w:val="Normal"/>
    <w:next w:val="Normal"/>
    <w:link w:val="Titre1Car"/>
    <w:uiPriority w:val="9"/>
    <w:qFormat/>
    <w:rsid w:val="001275A9"/>
    <w:pPr>
      <w:keepNext/>
      <w:keepLines/>
      <w:spacing w:before="240" w:after="240" w:line="360" w:lineRule="exact"/>
      <w:outlineLvl w:val="0"/>
    </w:pPr>
    <w:rPr>
      <w:rFonts w:asciiTheme="majorHAnsi" w:eastAsiaTheme="majorEastAsia" w:hAnsiTheme="majorHAnsi" w:cstheme="majorBidi"/>
      <w:sz w:val="36"/>
      <w:szCs w:val="32"/>
    </w:rPr>
  </w:style>
  <w:style w:type="paragraph" w:styleId="Titre2">
    <w:name w:val="heading 2"/>
    <w:basedOn w:val="Normal"/>
    <w:next w:val="Normal"/>
    <w:link w:val="Titre2Car"/>
    <w:uiPriority w:val="9"/>
    <w:unhideWhenUsed/>
    <w:qFormat/>
    <w:rsid w:val="003B0A55"/>
    <w:pPr>
      <w:keepNext/>
      <w:keepLines/>
      <w:spacing w:before="120"/>
      <w:outlineLvl w:val="1"/>
    </w:pPr>
    <w:rPr>
      <w:rFonts w:asciiTheme="majorHAnsi" w:eastAsiaTheme="majorEastAsia" w:hAnsiTheme="majorHAnsi" w:cstheme="majorBidi"/>
      <w:b/>
      <w:color w:val="0070CD" w:themeColor="text2"/>
      <w:sz w:val="24"/>
      <w:szCs w:val="26"/>
    </w:rPr>
  </w:style>
  <w:style w:type="paragraph" w:styleId="Titre3">
    <w:name w:val="heading 3"/>
    <w:basedOn w:val="Normal"/>
    <w:next w:val="Normal"/>
    <w:link w:val="Titre3Car"/>
    <w:uiPriority w:val="9"/>
    <w:unhideWhenUsed/>
    <w:qFormat/>
    <w:rsid w:val="000657BB"/>
    <w:pPr>
      <w:keepNext/>
      <w:keepLines/>
      <w:spacing w:before="120"/>
      <w:outlineLvl w:val="2"/>
    </w:pPr>
    <w:rPr>
      <w:rFonts w:asciiTheme="majorHAnsi" w:eastAsiaTheme="majorEastAsia" w:hAnsiTheme="majorHAnsi" w:cstheme="majorBidi"/>
      <w:b/>
      <w:szCs w:val="24"/>
    </w:rPr>
  </w:style>
  <w:style w:type="paragraph" w:styleId="Titre4">
    <w:name w:val="heading 4"/>
    <w:basedOn w:val="Normal"/>
    <w:next w:val="Normal"/>
    <w:link w:val="Titre4Car"/>
    <w:uiPriority w:val="9"/>
    <w:semiHidden/>
    <w:unhideWhenUsed/>
    <w:qFormat/>
    <w:rsid w:val="000657BB"/>
    <w:pPr>
      <w:keepNext/>
      <w:keepLines/>
      <w:spacing w:before="40" w:after="0"/>
      <w:outlineLvl w:val="3"/>
    </w:pPr>
    <w:rPr>
      <w:rFonts w:asciiTheme="majorHAnsi" w:eastAsiaTheme="majorEastAsia" w:hAnsiTheme="majorHAnsi" w:cstheme="majorBidi"/>
      <w:b/>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7173"/>
    <w:pPr>
      <w:tabs>
        <w:tab w:val="center" w:pos="4513"/>
        <w:tab w:val="right" w:pos="9026"/>
      </w:tabs>
      <w:spacing w:after="0" w:line="240" w:lineRule="auto"/>
    </w:pPr>
  </w:style>
  <w:style w:type="character" w:customStyle="1" w:styleId="En-tteCar">
    <w:name w:val="En-tête Car"/>
    <w:basedOn w:val="Policepardfaut"/>
    <w:link w:val="En-tte"/>
    <w:uiPriority w:val="99"/>
    <w:rsid w:val="007A7173"/>
  </w:style>
  <w:style w:type="paragraph" w:styleId="Pieddepage">
    <w:name w:val="footer"/>
    <w:basedOn w:val="Normal"/>
    <w:link w:val="PieddepageCar"/>
    <w:uiPriority w:val="99"/>
    <w:unhideWhenUsed/>
    <w:rsid w:val="007A717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A7173"/>
  </w:style>
  <w:style w:type="paragraph" w:styleId="Corpsdetexte">
    <w:name w:val="Body Text"/>
    <w:basedOn w:val="Normal"/>
    <w:link w:val="CorpsdetexteCar"/>
    <w:uiPriority w:val="1"/>
    <w:rsid w:val="007A7173"/>
    <w:pPr>
      <w:widowControl w:val="0"/>
      <w:autoSpaceDE w:val="0"/>
      <w:autoSpaceDN w:val="0"/>
      <w:spacing w:after="0" w:line="240" w:lineRule="auto"/>
    </w:pPr>
    <w:rPr>
      <w:rFonts w:ascii="HalyardTextBook-Regular" w:eastAsia="HalyardTextBook-Regular" w:hAnsi="HalyardTextBook-Regular" w:cs="HalyardTextBook-Regular"/>
      <w:sz w:val="16"/>
      <w:szCs w:val="16"/>
      <w:lang w:eastAsia="fr-FR" w:bidi="fr-FR"/>
    </w:rPr>
  </w:style>
  <w:style w:type="character" w:customStyle="1" w:styleId="CorpsdetexteCar">
    <w:name w:val="Corps de texte Car"/>
    <w:basedOn w:val="Policepardfaut"/>
    <w:link w:val="Corpsdetexte"/>
    <w:uiPriority w:val="1"/>
    <w:rsid w:val="007A7173"/>
    <w:rPr>
      <w:rFonts w:ascii="HalyardTextBook-Regular" w:eastAsia="HalyardTextBook-Regular" w:hAnsi="HalyardTextBook-Regular" w:cs="HalyardTextBook-Regular"/>
      <w:sz w:val="16"/>
      <w:szCs w:val="16"/>
      <w:lang w:val="fr-FR" w:eastAsia="fr-FR" w:bidi="fr-FR"/>
    </w:rPr>
  </w:style>
  <w:style w:type="paragraph" w:customStyle="1" w:styleId="PP">
    <w:name w:val="PP"/>
    <w:basedOn w:val="Normal"/>
    <w:rsid w:val="000D697E"/>
    <w:pPr>
      <w:suppressAutoHyphens/>
      <w:spacing w:before="200" w:after="0" w:line="320" w:lineRule="exact"/>
      <w:jc w:val="both"/>
    </w:pPr>
    <w:rPr>
      <w:rFonts w:ascii="Book Antiqua" w:eastAsia="Times New Roman" w:hAnsi="Book Antiqua" w:cs="Times New Roman"/>
      <w:sz w:val="23"/>
      <w:szCs w:val="23"/>
      <w:lang w:eastAsia="fr-FR"/>
    </w:rPr>
  </w:style>
  <w:style w:type="paragraph" w:styleId="Titre">
    <w:name w:val="Title"/>
    <w:basedOn w:val="Normal"/>
    <w:next w:val="Normal"/>
    <w:link w:val="TitreCar"/>
    <w:uiPriority w:val="10"/>
    <w:qFormat/>
    <w:rsid w:val="00500996"/>
    <w:pPr>
      <w:spacing w:before="120" w:after="240" w:line="480" w:lineRule="exact"/>
    </w:pPr>
    <w:rPr>
      <w:rFonts w:asciiTheme="majorHAnsi" w:eastAsiaTheme="majorEastAsia" w:hAnsiTheme="majorHAnsi" w:cstheme="majorBidi"/>
      <w:spacing w:val="-10"/>
      <w:kern w:val="28"/>
      <w:sz w:val="48"/>
      <w:szCs w:val="56"/>
    </w:rPr>
  </w:style>
  <w:style w:type="character" w:customStyle="1" w:styleId="TitreCar">
    <w:name w:val="Titre Car"/>
    <w:basedOn w:val="Policepardfaut"/>
    <w:link w:val="Titre"/>
    <w:uiPriority w:val="10"/>
    <w:rsid w:val="00500996"/>
    <w:rPr>
      <w:rFonts w:asciiTheme="majorHAnsi" w:eastAsiaTheme="majorEastAsia" w:hAnsiTheme="majorHAnsi" w:cstheme="majorBidi"/>
      <w:color w:val="787878" w:themeColor="text1"/>
      <w:spacing w:val="-10"/>
      <w:kern w:val="28"/>
      <w:sz w:val="48"/>
      <w:szCs w:val="56"/>
    </w:rPr>
  </w:style>
  <w:style w:type="paragraph" w:styleId="Sous-titre">
    <w:name w:val="Subtitle"/>
    <w:basedOn w:val="Normal"/>
    <w:next w:val="Normal"/>
    <w:link w:val="Sous-titreCar"/>
    <w:uiPriority w:val="11"/>
    <w:qFormat/>
    <w:rsid w:val="00DB17A8"/>
    <w:pPr>
      <w:numPr>
        <w:ilvl w:val="1"/>
      </w:numPr>
      <w:spacing w:before="120" w:line="480" w:lineRule="exact"/>
    </w:pPr>
    <w:rPr>
      <w:rFonts w:eastAsiaTheme="minorEastAsia"/>
      <w:b/>
      <w:sz w:val="48"/>
    </w:rPr>
  </w:style>
  <w:style w:type="character" w:customStyle="1" w:styleId="Sous-titreCar">
    <w:name w:val="Sous-titre Car"/>
    <w:basedOn w:val="Policepardfaut"/>
    <w:link w:val="Sous-titre"/>
    <w:uiPriority w:val="11"/>
    <w:rsid w:val="00DB17A8"/>
    <w:rPr>
      <w:rFonts w:eastAsiaTheme="minorEastAsia"/>
      <w:b/>
      <w:color w:val="787878" w:themeColor="text1"/>
      <w:sz w:val="48"/>
    </w:rPr>
  </w:style>
  <w:style w:type="character" w:customStyle="1" w:styleId="Titre1Car">
    <w:name w:val="Titre 1 Car"/>
    <w:basedOn w:val="Policepardfaut"/>
    <w:link w:val="Titre1"/>
    <w:uiPriority w:val="9"/>
    <w:rsid w:val="001275A9"/>
    <w:rPr>
      <w:rFonts w:asciiTheme="majorHAnsi" w:eastAsiaTheme="majorEastAsia" w:hAnsiTheme="majorHAnsi" w:cstheme="majorBidi"/>
      <w:color w:val="787878" w:themeColor="text1"/>
      <w:sz w:val="36"/>
      <w:szCs w:val="32"/>
    </w:rPr>
  </w:style>
  <w:style w:type="character" w:customStyle="1" w:styleId="Titre2Car">
    <w:name w:val="Titre 2 Car"/>
    <w:basedOn w:val="Policepardfaut"/>
    <w:link w:val="Titre2"/>
    <w:uiPriority w:val="9"/>
    <w:rsid w:val="003B0A55"/>
    <w:rPr>
      <w:rFonts w:asciiTheme="majorHAnsi" w:eastAsiaTheme="majorEastAsia" w:hAnsiTheme="majorHAnsi" w:cstheme="majorBidi"/>
      <w:b/>
      <w:color w:val="0070CD" w:themeColor="text2"/>
      <w:sz w:val="24"/>
      <w:szCs w:val="26"/>
    </w:rPr>
  </w:style>
  <w:style w:type="paragraph" w:styleId="Paragraphedeliste">
    <w:name w:val="List Paragraph"/>
    <w:basedOn w:val="Normal"/>
    <w:uiPriority w:val="34"/>
    <w:qFormat/>
    <w:rsid w:val="0080520C"/>
    <w:pPr>
      <w:ind w:left="720"/>
    </w:pPr>
  </w:style>
  <w:style w:type="character" w:customStyle="1" w:styleId="Titre3Car">
    <w:name w:val="Titre 3 Car"/>
    <w:basedOn w:val="Policepardfaut"/>
    <w:link w:val="Titre3"/>
    <w:uiPriority w:val="9"/>
    <w:rsid w:val="000657BB"/>
    <w:rPr>
      <w:rFonts w:asciiTheme="majorHAnsi" w:eastAsiaTheme="majorEastAsia" w:hAnsiTheme="majorHAnsi" w:cstheme="majorBidi"/>
      <w:b/>
      <w:color w:val="787878" w:themeColor="text1"/>
      <w:sz w:val="20"/>
      <w:szCs w:val="24"/>
    </w:rPr>
  </w:style>
  <w:style w:type="paragraph" w:styleId="Sansinterligne">
    <w:name w:val="No Spacing"/>
    <w:uiPriority w:val="1"/>
    <w:qFormat/>
    <w:rsid w:val="0080520C"/>
    <w:pPr>
      <w:spacing w:after="0" w:line="300" w:lineRule="exact"/>
    </w:pPr>
    <w:rPr>
      <w:color w:val="787878" w:themeColor="text1"/>
    </w:rPr>
  </w:style>
  <w:style w:type="character" w:customStyle="1" w:styleId="Titre4Car">
    <w:name w:val="Titre 4 Car"/>
    <w:basedOn w:val="Policepardfaut"/>
    <w:link w:val="Titre4"/>
    <w:uiPriority w:val="9"/>
    <w:semiHidden/>
    <w:rsid w:val="000657BB"/>
    <w:rPr>
      <w:rFonts w:asciiTheme="majorHAnsi" w:eastAsiaTheme="majorEastAsia" w:hAnsiTheme="majorHAnsi" w:cstheme="majorBidi"/>
      <w:b/>
      <w:iCs/>
      <w:color w:val="787878" w:themeColor="text1"/>
      <w:sz w:val="20"/>
    </w:rPr>
  </w:style>
  <w:style w:type="paragraph" w:styleId="Listepuces">
    <w:name w:val="List Bullet"/>
    <w:basedOn w:val="Normal"/>
    <w:uiPriority w:val="99"/>
    <w:semiHidden/>
    <w:unhideWhenUsed/>
    <w:rsid w:val="0080520C"/>
    <w:pPr>
      <w:numPr>
        <w:numId w:val="1"/>
      </w:numPr>
      <w:ind w:left="357" w:hanging="357"/>
    </w:pPr>
  </w:style>
  <w:style w:type="paragraph" w:customStyle="1" w:styleId="Introduction">
    <w:name w:val="Introduction"/>
    <w:basedOn w:val="Normal"/>
    <w:qFormat/>
    <w:rsid w:val="003B0A55"/>
    <w:pPr>
      <w:spacing w:line="360" w:lineRule="exact"/>
    </w:pPr>
    <w:rPr>
      <w:color w:val="0070CD" w:themeColor="text2"/>
      <w:sz w:val="28"/>
    </w:rPr>
  </w:style>
  <w:style w:type="table" w:styleId="Grilledutableau">
    <w:name w:val="Table Grid"/>
    <w:basedOn w:val="TableauNormal"/>
    <w:uiPriority w:val="39"/>
    <w:rsid w:val="00A74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5">
    <w:name w:val="List Table 3 Accent 5"/>
    <w:basedOn w:val="TableauNormal"/>
    <w:uiPriority w:val="48"/>
    <w:rsid w:val="00A7477B"/>
    <w:pPr>
      <w:spacing w:after="0" w:line="240" w:lineRule="auto"/>
    </w:pPr>
    <w:tblPr>
      <w:tblStyleRowBandSize w:val="1"/>
      <w:tblStyleColBandSize w:val="1"/>
      <w:tblBorders>
        <w:top w:val="single" w:sz="4" w:space="0" w:color="9DA480" w:themeColor="accent5"/>
        <w:left w:val="single" w:sz="4" w:space="0" w:color="9DA480" w:themeColor="accent5"/>
        <w:bottom w:val="single" w:sz="4" w:space="0" w:color="9DA480" w:themeColor="accent5"/>
        <w:right w:val="single" w:sz="4" w:space="0" w:color="9DA480" w:themeColor="accent5"/>
      </w:tblBorders>
    </w:tblPr>
    <w:tblStylePr w:type="firstRow">
      <w:rPr>
        <w:b/>
        <w:bCs/>
        <w:color w:val="FFFFFF" w:themeColor="background1"/>
      </w:rPr>
      <w:tblPr/>
      <w:tcPr>
        <w:shd w:val="clear" w:color="auto" w:fill="9DA480" w:themeFill="accent5"/>
      </w:tcPr>
    </w:tblStylePr>
    <w:tblStylePr w:type="lastRow">
      <w:rPr>
        <w:b/>
        <w:bCs/>
      </w:rPr>
      <w:tblPr/>
      <w:tcPr>
        <w:tcBorders>
          <w:top w:val="double" w:sz="4" w:space="0" w:color="9DA48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A480" w:themeColor="accent5"/>
          <w:right w:val="single" w:sz="4" w:space="0" w:color="9DA480" w:themeColor="accent5"/>
        </w:tcBorders>
      </w:tcPr>
    </w:tblStylePr>
    <w:tblStylePr w:type="band1Horz">
      <w:tblPr/>
      <w:tcPr>
        <w:tcBorders>
          <w:top w:val="single" w:sz="4" w:space="0" w:color="9DA480" w:themeColor="accent5"/>
          <w:bottom w:val="single" w:sz="4" w:space="0" w:color="9DA48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A480" w:themeColor="accent5"/>
          <w:left w:val="nil"/>
        </w:tcBorders>
      </w:tcPr>
    </w:tblStylePr>
    <w:tblStylePr w:type="swCell">
      <w:tblPr/>
      <w:tcPr>
        <w:tcBorders>
          <w:top w:val="double" w:sz="4" w:space="0" w:color="9DA480" w:themeColor="accent5"/>
          <w:right w:val="nil"/>
        </w:tcBorders>
      </w:tcPr>
    </w:tblStylePr>
  </w:style>
  <w:style w:type="table" w:styleId="TableauListe4-Accentuation6">
    <w:name w:val="List Table 4 Accent 6"/>
    <w:basedOn w:val="TableauNormal"/>
    <w:uiPriority w:val="49"/>
    <w:rsid w:val="00A7477B"/>
    <w:pPr>
      <w:spacing w:after="0" w:line="240" w:lineRule="auto"/>
    </w:pPr>
    <w:tblPr>
      <w:tblStyleRowBandSize w:val="1"/>
      <w:tblStyleColBandSize w:val="1"/>
      <w:tblBorders>
        <w:top w:val="single" w:sz="4" w:space="0" w:color="966D88" w:themeColor="accent6" w:themeTint="99"/>
        <w:left w:val="single" w:sz="4" w:space="0" w:color="966D88" w:themeColor="accent6" w:themeTint="99"/>
        <w:bottom w:val="single" w:sz="4" w:space="0" w:color="966D88" w:themeColor="accent6" w:themeTint="99"/>
        <w:right w:val="single" w:sz="4" w:space="0" w:color="966D88" w:themeColor="accent6" w:themeTint="99"/>
        <w:insideH w:val="single" w:sz="4" w:space="0" w:color="966D88" w:themeColor="accent6" w:themeTint="99"/>
      </w:tblBorders>
    </w:tblPr>
    <w:tblStylePr w:type="firstRow">
      <w:rPr>
        <w:b/>
        <w:bCs/>
        <w:color w:val="FFFFFF" w:themeColor="background1"/>
      </w:rPr>
      <w:tblPr/>
      <w:tcPr>
        <w:tcBorders>
          <w:top w:val="single" w:sz="4" w:space="0" w:color="362731" w:themeColor="accent6"/>
          <w:left w:val="single" w:sz="4" w:space="0" w:color="362731" w:themeColor="accent6"/>
          <w:bottom w:val="single" w:sz="4" w:space="0" w:color="362731" w:themeColor="accent6"/>
          <w:right w:val="single" w:sz="4" w:space="0" w:color="362731" w:themeColor="accent6"/>
          <w:insideH w:val="nil"/>
        </w:tcBorders>
        <w:shd w:val="clear" w:color="auto" w:fill="362731" w:themeFill="accent6"/>
      </w:tcPr>
    </w:tblStylePr>
    <w:tblStylePr w:type="lastRow">
      <w:rPr>
        <w:b/>
        <w:bCs/>
      </w:rPr>
      <w:tblPr/>
      <w:tcPr>
        <w:tcBorders>
          <w:top w:val="double" w:sz="4" w:space="0" w:color="966D88" w:themeColor="accent6" w:themeTint="99"/>
        </w:tcBorders>
      </w:tcPr>
    </w:tblStylePr>
    <w:tblStylePr w:type="firstCol">
      <w:rPr>
        <w:b/>
        <w:bCs/>
      </w:rPr>
    </w:tblStylePr>
    <w:tblStylePr w:type="lastCol">
      <w:rPr>
        <w:b/>
        <w:bCs/>
      </w:rPr>
    </w:tblStylePr>
    <w:tblStylePr w:type="band1Vert">
      <w:tblPr/>
      <w:tcPr>
        <w:shd w:val="clear" w:color="auto" w:fill="DCCED7" w:themeFill="accent6" w:themeFillTint="33"/>
      </w:tcPr>
    </w:tblStylePr>
    <w:tblStylePr w:type="band1Horz">
      <w:tblPr/>
      <w:tcPr>
        <w:shd w:val="clear" w:color="auto" w:fill="DCCED7" w:themeFill="accent6" w:themeFillTint="33"/>
      </w:tcPr>
    </w:tblStylePr>
  </w:style>
  <w:style w:type="character" w:styleId="Textedelespacerserv">
    <w:name w:val="Placeholder Text"/>
    <w:basedOn w:val="Policepardfaut"/>
    <w:uiPriority w:val="99"/>
    <w:semiHidden/>
    <w:rsid w:val="00A7477B"/>
    <w:rPr>
      <w:color w:val="808080"/>
    </w:rPr>
  </w:style>
  <w:style w:type="table" w:styleId="TableauListe4-Accentuation4">
    <w:name w:val="List Table 4 Accent 4"/>
    <w:basedOn w:val="TableauNormal"/>
    <w:uiPriority w:val="49"/>
    <w:rsid w:val="003B0A55"/>
    <w:pPr>
      <w:spacing w:after="0" w:line="240" w:lineRule="auto"/>
    </w:pPr>
    <w:tblPr>
      <w:tblStyleRowBandSize w:val="1"/>
      <w:tblStyleColBandSize w:val="1"/>
      <w:tblBorders>
        <w:top w:val="single" w:sz="4" w:space="0" w:color="7D88BA" w:themeColor="accent4" w:themeTint="99"/>
        <w:left w:val="single" w:sz="4" w:space="0" w:color="7D88BA" w:themeColor="accent4" w:themeTint="99"/>
        <w:bottom w:val="single" w:sz="4" w:space="0" w:color="7D88BA" w:themeColor="accent4" w:themeTint="99"/>
        <w:right w:val="single" w:sz="4" w:space="0" w:color="7D88BA" w:themeColor="accent4" w:themeTint="99"/>
        <w:insideH w:val="single" w:sz="4" w:space="0" w:color="7D88BA" w:themeColor="accent4" w:themeTint="99"/>
      </w:tblBorders>
    </w:tblPr>
    <w:tblStylePr w:type="firstRow">
      <w:rPr>
        <w:b/>
        <w:bCs/>
        <w:color w:val="FFFFFF" w:themeColor="background1"/>
      </w:rPr>
      <w:tblPr/>
      <w:tcPr>
        <w:tcBorders>
          <w:top w:val="single" w:sz="4" w:space="0" w:color="3E4875" w:themeColor="accent4"/>
          <w:left w:val="single" w:sz="4" w:space="0" w:color="3E4875" w:themeColor="accent4"/>
          <w:bottom w:val="single" w:sz="4" w:space="0" w:color="3E4875" w:themeColor="accent4"/>
          <w:right w:val="single" w:sz="4" w:space="0" w:color="3E4875" w:themeColor="accent4"/>
          <w:insideH w:val="nil"/>
        </w:tcBorders>
        <w:shd w:val="clear" w:color="auto" w:fill="3E4875" w:themeFill="accent4"/>
      </w:tcPr>
    </w:tblStylePr>
    <w:tblStylePr w:type="lastRow">
      <w:rPr>
        <w:b/>
        <w:bCs/>
      </w:rPr>
      <w:tblPr/>
      <w:tcPr>
        <w:tcBorders>
          <w:top w:val="double" w:sz="4" w:space="0" w:color="7D88BA" w:themeColor="accent4" w:themeTint="99"/>
        </w:tcBorders>
      </w:tcPr>
    </w:tblStylePr>
    <w:tblStylePr w:type="firstCol">
      <w:rPr>
        <w:b/>
        <w:bCs/>
      </w:rPr>
    </w:tblStylePr>
    <w:tblStylePr w:type="lastCol">
      <w:rPr>
        <w:b/>
        <w:bCs/>
      </w:rPr>
    </w:tblStylePr>
    <w:tblStylePr w:type="band1Vert">
      <w:tblPr/>
      <w:tcPr>
        <w:shd w:val="clear" w:color="auto" w:fill="D3D7E8" w:themeFill="accent4" w:themeFillTint="33"/>
      </w:tcPr>
    </w:tblStylePr>
    <w:tblStylePr w:type="band1Horz">
      <w:tblPr/>
      <w:tcPr>
        <w:shd w:val="clear" w:color="auto" w:fill="D3D7E8" w:themeFill="accent4" w:themeFillTint="33"/>
      </w:tcPr>
    </w:tblStylePr>
  </w:style>
  <w:style w:type="character" w:styleId="Lienhypertexte">
    <w:name w:val="Hyperlink"/>
    <w:basedOn w:val="Policepardfaut"/>
    <w:uiPriority w:val="99"/>
    <w:unhideWhenUsed/>
    <w:rsid w:val="009A4190"/>
    <w:rPr>
      <w:color w:val="79AFDA" w:themeColor="hyperlink"/>
      <w:u w:val="single"/>
    </w:rPr>
  </w:style>
  <w:style w:type="paragraph" w:customStyle="1" w:styleId="FootnoteText1">
    <w:name w:val="Footnote Text1"/>
    <w:basedOn w:val="Normal"/>
    <w:next w:val="Notedebasdepage"/>
    <w:link w:val="FootnoteTextChar"/>
    <w:uiPriority w:val="99"/>
    <w:semiHidden/>
    <w:unhideWhenUsed/>
    <w:rsid w:val="009A4190"/>
    <w:pPr>
      <w:spacing w:after="0" w:line="240" w:lineRule="auto"/>
    </w:pPr>
    <w:rPr>
      <w:color w:val="auto"/>
      <w:szCs w:val="20"/>
    </w:rPr>
  </w:style>
  <w:style w:type="character" w:customStyle="1" w:styleId="FootnoteTextChar">
    <w:name w:val="Footnote Text Char"/>
    <w:basedOn w:val="Policepardfaut"/>
    <w:link w:val="FootnoteText1"/>
    <w:uiPriority w:val="99"/>
    <w:semiHidden/>
    <w:rsid w:val="009A4190"/>
    <w:rPr>
      <w:sz w:val="20"/>
      <w:szCs w:val="20"/>
    </w:rPr>
  </w:style>
  <w:style w:type="character" w:styleId="Appelnotedebasdep">
    <w:name w:val="footnote reference"/>
    <w:basedOn w:val="Policepardfaut"/>
    <w:uiPriority w:val="99"/>
    <w:semiHidden/>
    <w:unhideWhenUsed/>
    <w:rsid w:val="009A4190"/>
    <w:rPr>
      <w:vertAlign w:val="superscript"/>
    </w:rPr>
  </w:style>
  <w:style w:type="paragraph" w:styleId="Notedebasdepage">
    <w:name w:val="footnote text"/>
    <w:basedOn w:val="Normal"/>
    <w:link w:val="NotedebasdepageCar"/>
    <w:uiPriority w:val="99"/>
    <w:semiHidden/>
    <w:unhideWhenUsed/>
    <w:rsid w:val="009A4190"/>
    <w:pPr>
      <w:spacing w:after="0" w:line="240" w:lineRule="auto"/>
    </w:pPr>
    <w:rPr>
      <w:szCs w:val="20"/>
    </w:rPr>
  </w:style>
  <w:style w:type="character" w:customStyle="1" w:styleId="NotedebasdepageCar">
    <w:name w:val="Note de bas de page Car"/>
    <w:basedOn w:val="Policepardfaut"/>
    <w:link w:val="Notedebasdepage"/>
    <w:uiPriority w:val="99"/>
    <w:semiHidden/>
    <w:rsid w:val="009A4190"/>
    <w:rPr>
      <w:color w:val="787878" w:themeColor="text1"/>
      <w:sz w:val="20"/>
      <w:szCs w:val="20"/>
    </w:rPr>
  </w:style>
  <w:style w:type="character" w:styleId="Mentionnonrsolue">
    <w:name w:val="Unresolved Mention"/>
    <w:basedOn w:val="Policepardfaut"/>
    <w:uiPriority w:val="99"/>
    <w:semiHidden/>
    <w:unhideWhenUsed/>
    <w:rsid w:val="009A4190"/>
    <w:rPr>
      <w:color w:val="605E5C"/>
      <w:shd w:val="clear" w:color="auto" w:fill="E1DFDD"/>
    </w:rPr>
  </w:style>
  <w:style w:type="paragraph" w:styleId="Textedebulles">
    <w:name w:val="Balloon Text"/>
    <w:basedOn w:val="Normal"/>
    <w:link w:val="TextedebullesCar"/>
    <w:uiPriority w:val="99"/>
    <w:semiHidden/>
    <w:unhideWhenUsed/>
    <w:rsid w:val="009126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26FB"/>
    <w:rPr>
      <w:rFonts w:ascii="Segoe UI" w:hAnsi="Segoe UI" w:cs="Segoe UI"/>
      <w:color w:val="787878" w:themeColor="text1"/>
      <w:sz w:val="18"/>
      <w:szCs w:val="18"/>
    </w:rPr>
  </w:style>
  <w:style w:type="paragraph" w:customStyle="1" w:styleId="paragraph">
    <w:name w:val="paragraph"/>
    <w:basedOn w:val="Normal"/>
    <w:rsid w:val="009126FB"/>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Policepardfaut"/>
    <w:rsid w:val="009126FB"/>
  </w:style>
  <w:style w:type="character" w:customStyle="1" w:styleId="eop">
    <w:name w:val="eop"/>
    <w:basedOn w:val="Policepardfaut"/>
    <w:rsid w:val="009126FB"/>
  </w:style>
  <w:style w:type="paragraph" w:customStyle="1" w:styleId="Default">
    <w:name w:val="Default"/>
    <w:rsid w:val="004C64F1"/>
    <w:pPr>
      <w:suppressAutoHyphens/>
      <w:autoSpaceDE w:val="0"/>
      <w:autoSpaceDN w:val="0"/>
      <w:spacing w:after="0" w:line="240" w:lineRule="auto"/>
      <w:textAlignment w:val="baseline"/>
    </w:pPr>
    <w:rPr>
      <w:rFonts w:ascii="Halyard Text Book" w:eastAsia="Calibri" w:hAnsi="Halyard Text Book" w:cs="Halyard Text Book"/>
      <w:color w:val="000000"/>
      <w:sz w:val="24"/>
      <w:szCs w:val="24"/>
    </w:rPr>
  </w:style>
  <w:style w:type="character" w:customStyle="1" w:styleId="Policepardfaut1">
    <w:name w:val="Police par défaut1"/>
    <w:rsid w:val="008C18E6"/>
  </w:style>
  <w:style w:type="character" w:styleId="Marquedecommentaire">
    <w:name w:val="annotation reference"/>
    <w:basedOn w:val="Policepardfaut"/>
    <w:unhideWhenUsed/>
    <w:rsid w:val="00420959"/>
    <w:rPr>
      <w:sz w:val="16"/>
      <w:szCs w:val="16"/>
    </w:rPr>
  </w:style>
  <w:style w:type="paragraph" w:styleId="Commentaire">
    <w:name w:val="annotation text"/>
    <w:basedOn w:val="Normal"/>
    <w:link w:val="CommentaireCar"/>
    <w:unhideWhenUsed/>
    <w:rsid w:val="00420959"/>
    <w:pPr>
      <w:spacing w:line="240" w:lineRule="auto"/>
    </w:pPr>
    <w:rPr>
      <w:szCs w:val="20"/>
    </w:rPr>
  </w:style>
  <w:style w:type="character" w:customStyle="1" w:styleId="CommentaireCar">
    <w:name w:val="Commentaire Car"/>
    <w:basedOn w:val="Policepardfaut"/>
    <w:link w:val="Commentaire"/>
    <w:uiPriority w:val="99"/>
    <w:semiHidden/>
    <w:rsid w:val="00420959"/>
    <w:rPr>
      <w:color w:val="787878" w:themeColor="text1"/>
      <w:sz w:val="20"/>
      <w:szCs w:val="20"/>
    </w:rPr>
  </w:style>
  <w:style w:type="paragraph" w:styleId="Objetducommentaire">
    <w:name w:val="annotation subject"/>
    <w:basedOn w:val="Commentaire"/>
    <w:next w:val="Commentaire"/>
    <w:link w:val="ObjetducommentaireCar"/>
    <w:uiPriority w:val="99"/>
    <w:semiHidden/>
    <w:unhideWhenUsed/>
    <w:rsid w:val="00420959"/>
    <w:rPr>
      <w:b/>
      <w:bCs/>
    </w:rPr>
  </w:style>
  <w:style w:type="character" w:customStyle="1" w:styleId="ObjetducommentaireCar">
    <w:name w:val="Objet du commentaire Car"/>
    <w:basedOn w:val="CommentaireCar"/>
    <w:link w:val="Objetducommentaire"/>
    <w:uiPriority w:val="99"/>
    <w:semiHidden/>
    <w:rsid w:val="00420959"/>
    <w:rPr>
      <w:b/>
      <w:bCs/>
      <w:color w:val="787878" w:themeColor="text1"/>
      <w:sz w:val="20"/>
      <w:szCs w:val="20"/>
    </w:rPr>
  </w:style>
  <w:style w:type="paragraph" w:customStyle="1" w:styleId="xmsonormal">
    <w:name w:val="x_msonormal"/>
    <w:basedOn w:val="Normal"/>
    <w:rsid w:val="00D37D7F"/>
    <w:pPr>
      <w:spacing w:after="0" w:line="240" w:lineRule="auto"/>
    </w:pPr>
    <w:rPr>
      <w:rFonts w:ascii="Calibri" w:hAnsi="Calibri" w:cs="Calibri"/>
      <w:color w:val="auto"/>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67361">
      <w:bodyDiv w:val="1"/>
      <w:marLeft w:val="0"/>
      <w:marRight w:val="0"/>
      <w:marTop w:val="0"/>
      <w:marBottom w:val="0"/>
      <w:divBdr>
        <w:top w:val="none" w:sz="0" w:space="0" w:color="auto"/>
        <w:left w:val="none" w:sz="0" w:space="0" w:color="auto"/>
        <w:bottom w:val="none" w:sz="0" w:space="0" w:color="auto"/>
        <w:right w:val="none" w:sz="0" w:space="0" w:color="auto"/>
      </w:divBdr>
    </w:div>
    <w:div w:id="441268879">
      <w:bodyDiv w:val="1"/>
      <w:marLeft w:val="0"/>
      <w:marRight w:val="0"/>
      <w:marTop w:val="0"/>
      <w:marBottom w:val="0"/>
      <w:divBdr>
        <w:top w:val="none" w:sz="0" w:space="0" w:color="auto"/>
        <w:left w:val="none" w:sz="0" w:space="0" w:color="auto"/>
        <w:bottom w:val="none" w:sz="0" w:space="0" w:color="auto"/>
        <w:right w:val="none" w:sz="0" w:space="0" w:color="auto"/>
      </w:divBdr>
    </w:div>
    <w:div w:id="670446583">
      <w:bodyDiv w:val="1"/>
      <w:marLeft w:val="0"/>
      <w:marRight w:val="0"/>
      <w:marTop w:val="0"/>
      <w:marBottom w:val="0"/>
      <w:divBdr>
        <w:top w:val="none" w:sz="0" w:space="0" w:color="auto"/>
        <w:left w:val="none" w:sz="0" w:space="0" w:color="auto"/>
        <w:bottom w:val="none" w:sz="0" w:space="0" w:color="auto"/>
        <w:right w:val="none" w:sz="0" w:space="0" w:color="auto"/>
      </w:divBdr>
      <w:divsChild>
        <w:div w:id="2048597852">
          <w:marLeft w:val="432"/>
          <w:marRight w:val="432"/>
          <w:marTop w:val="150"/>
          <w:marBottom w:val="150"/>
          <w:divBdr>
            <w:top w:val="none" w:sz="0" w:space="0" w:color="auto"/>
            <w:left w:val="none" w:sz="0" w:space="0" w:color="auto"/>
            <w:bottom w:val="none" w:sz="0" w:space="0" w:color="auto"/>
            <w:right w:val="none" w:sz="0" w:space="0" w:color="auto"/>
          </w:divBdr>
        </w:div>
      </w:divsChild>
    </w:div>
    <w:div w:id="734280380">
      <w:bodyDiv w:val="1"/>
      <w:marLeft w:val="0"/>
      <w:marRight w:val="0"/>
      <w:marTop w:val="0"/>
      <w:marBottom w:val="0"/>
      <w:divBdr>
        <w:top w:val="none" w:sz="0" w:space="0" w:color="auto"/>
        <w:left w:val="none" w:sz="0" w:space="0" w:color="auto"/>
        <w:bottom w:val="none" w:sz="0" w:space="0" w:color="auto"/>
        <w:right w:val="none" w:sz="0" w:space="0" w:color="auto"/>
      </w:divBdr>
    </w:div>
    <w:div w:id="972441960">
      <w:bodyDiv w:val="1"/>
      <w:marLeft w:val="0"/>
      <w:marRight w:val="0"/>
      <w:marTop w:val="0"/>
      <w:marBottom w:val="0"/>
      <w:divBdr>
        <w:top w:val="none" w:sz="0" w:space="0" w:color="auto"/>
        <w:left w:val="none" w:sz="0" w:space="0" w:color="auto"/>
        <w:bottom w:val="none" w:sz="0" w:space="0" w:color="auto"/>
        <w:right w:val="none" w:sz="0" w:space="0" w:color="auto"/>
      </w:divBdr>
    </w:div>
    <w:div w:id="1183779916">
      <w:bodyDiv w:val="1"/>
      <w:marLeft w:val="0"/>
      <w:marRight w:val="0"/>
      <w:marTop w:val="0"/>
      <w:marBottom w:val="0"/>
      <w:divBdr>
        <w:top w:val="none" w:sz="0" w:space="0" w:color="auto"/>
        <w:left w:val="none" w:sz="0" w:space="0" w:color="auto"/>
        <w:bottom w:val="none" w:sz="0" w:space="0" w:color="auto"/>
        <w:right w:val="none" w:sz="0" w:space="0" w:color="auto"/>
      </w:divBdr>
    </w:div>
    <w:div w:id="1580825810">
      <w:bodyDiv w:val="1"/>
      <w:marLeft w:val="0"/>
      <w:marRight w:val="0"/>
      <w:marTop w:val="0"/>
      <w:marBottom w:val="0"/>
      <w:divBdr>
        <w:top w:val="none" w:sz="0" w:space="0" w:color="auto"/>
        <w:left w:val="none" w:sz="0" w:space="0" w:color="auto"/>
        <w:bottom w:val="none" w:sz="0" w:space="0" w:color="auto"/>
        <w:right w:val="none" w:sz="0" w:space="0" w:color="auto"/>
      </w:divBdr>
    </w:div>
    <w:div w:id="201942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zars@shan.fr" TargetMode="External"/><Relationship Id="rId18" Type="http://schemas.openxmlformats.org/officeDocument/2006/relationships/hyperlink" Target="http://www.linkedin.com/company/mazar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linkedin.com/company/financement-participatif-france" TargetMode="External"/><Relationship Id="rId7" Type="http://schemas.openxmlformats.org/officeDocument/2006/relationships/settings" Target="settings.xml"/><Relationship Id="rId12" Type="http://schemas.openxmlformats.org/officeDocument/2006/relationships/hyperlink" Target="mailto:mazars@shan.fr" TargetMode="External"/><Relationship Id="rId17" Type="http://schemas.openxmlformats.org/officeDocument/2006/relationships/hyperlink" Target="http://www.mazars.f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lorence.demaupeou@financeparticipative.org" TargetMode="External"/><Relationship Id="rId20" Type="http://schemas.openxmlformats.org/officeDocument/2006/relationships/hyperlink" Target="https://financeparticipativ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aurore.angeli@mazars.fr"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twitter.com/MazarsenFr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halie.lagos@mazars.fr" TargetMode="External"/><Relationship Id="rId22" Type="http://schemas.openxmlformats.org/officeDocument/2006/relationships/hyperlink" Target="https://twitter.com/Fin_Par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Mazars_Tender_2020">
  <a:themeElements>
    <a:clrScheme name="Mazars_PPT_2020">
      <a:dk1>
        <a:srgbClr val="787878"/>
      </a:dk1>
      <a:lt1>
        <a:srgbClr val="FFFFFF"/>
      </a:lt1>
      <a:dk2>
        <a:srgbClr val="0070CD"/>
      </a:dk2>
      <a:lt2>
        <a:srgbClr val="F3F4F3"/>
      </a:lt2>
      <a:accent1>
        <a:srgbClr val="0A1E8E"/>
      </a:accent1>
      <a:accent2>
        <a:srgbClr val="6F4C63"/>
      </a:accent2>
      <a:accent3>
        <a:srgbClr val="428475"/>
      </a:accent3>
      <a:accent4>
        <a:srgbClr val="3E4875"/>
      </a:accent4>
      <a:accent5>
        <a:srgbClr val="9DA480"/>
      </a:accent5>
      <a:accent6>
        <a:srgbClr val="362731"/>
      </a:accent6>
      <a:hlink>
        <a:srgbClr val="79AFDA"/>
      </a:hlink>
      <a:folHlink>
        <a:srgbClr val="457E8F"/>
      </a:folHlink>
    </a:clrScheme>
    <a:fontScheme name="Mazars_2020">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zars_Tender_2020" id="{350AD5E0-621A-4965-B792-B36B593505A0}" vid="{F4A5C7A2-A517-4936-9CC9-FA33DE72CC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4C0A006C61C441977ED6568B2EE50B" ma:contentTypeVersion="12" ma:contentTypeDescription="Crée un document." ma:contentTypeScope="" ma:versionID="7f7319ea2254f4a8106995df04d5b862">
  <xsd:schema xmlns:xsd="http://www.w3.org/2001/XMLSchema" xmlns:xs="http://www.w3.org/2001/XMLSchema" xmlns:p="http://schemas.microsoft.com/office/2006/metadata/properties" xmlns:ns3="6a706fc5-8f2f-430f-a967-ebaea5d7b1fb" xmlns:ns4="6b8a198d-a8d1-40a1-90b7-1535558c5570" targetNamespace="http://schemas.microsoft.com/office/2006/metadata/properties" ma:root="true" ma:fieldsID="3ae9b7ba1445fa0b02a944b33d2c2bc0" ns3:_="" ns4:_="">
    <xsd:import namespace="6a706fc5-8f2f-430f-a967-ebaea5d7b1fb"/>
    <xsd:import namespace="6b8a198d-a8d1-40a1-90b7-1535558c5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06fc5-8f2f-430f-a967-ebaea5d7b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8a198d-a8d1-40a1-90b7-1535558c557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71B4C-1AF3-49B2-BF4B-A95A3DA8F3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9B3A6D-B9D8-41B2-AFAC-5B9AE7BF9B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06fc5-8f2f-430f-a967-ebaea5d7b1fb"/>
    <ds:schemaRef ds:uri="6b8a198d-a8d1-40a1-90b7-1535558c5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34D79-0071-4D37-A5B3-1BFEB975C9A7}">
  <ds:schemaRefs>
    <ds:schemaRef ds:uri="http://schemas.microsoft.com/sharepoint/v3/contenttype/forms"/>
  </ds:schemaRefs>
</ds:datastoreItem>
</file>

<file path=customXml/itemProps4.xml><?xml version="1.0" encoding="utf-8"?>
<ds:datastoreItem xmlns:ds="http://schemas.openxmlformats.org/officeDocument/2006/customXml" ds:itemID="{47A1CB12-901A-455E-9C2F-775F622A1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1712</Words>
  <Characters>9419</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Bund</dc:creator>
  <cp:keywords/>
  <dc:description/>
  <cp:lastModifiedBy>ANGELI Aurore</cp:lastModifiedBy>
  <cp:revision>4</cp:revision>
  <cp:lastPrinted>2021-02-09T15:52:00Z</cp:lastPrinted>
  <dcterms:created xsi:type="dcterms:W3CDTF">2021-02-09T16:02:00Z</dcterms:created>
  <dcterms:modified xsi:type="dcterms:W3CDTF">2021-02-09T18:37:00Z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0x010100BA4C0A006C61C441977ED6568B2EE50B</vt:lpwstr>
  </property>
</Properties>
</file>